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31CE" w14:textId="3D3DDADD" w:rsidR="00842D3D" w:rsidRDefault="00842D3D" w:rsidP="0072683D">
      <w:pPr>
        <w:pStyle w:val="Heading1"/>
      </w:pPr>
      <w:r>
        <w:rPr>
          <w:noProof/>
        </w:rPr>
        <w:drawing>
          <wp:inline distT="0" distB="0" distL="0" distR="0" wp14:anchorId="09023837" wp14:editId="0C29BC33">
            <wp:extent cx="5731510" cy="11957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95705"/>
                    </a:xfrm>
                    <a:prstGeom prst="rect">
                      <a:avLst/>
                    </a:prstGeom>
                    <a:noFill/>
                    <a:ln>
                      <a:noFill/>
                    </a:ln>
                  </pic:spPr>
                </pic:pic>
              </a:graphicData>
            </a:graphic>
          </wp:inline>
        </w:drawing>
      </w:r>
    </w:p>
    <w:p w14:paraId="5B5D0889" w14:textId="77777777" w:rsidR="00671A22" w:rsidRDefault="00671A22" w:rsidP="0072683D">
      <w:pPr>
        <w:pStyle w:val="Heading1"/>
      </w:pPr>
    </w:p>
    <w:p w14:paraId="50215910" w14:textId="1A1965A4" w:rsidR="00647A4E" w:rsidRDefault="001F5698" w:rsidP="0072683D">
      <w:pPr>
        <w:pStyle w:val="Heading1"/>
      </w:pPr>
      <w:r>
        <w:t xml:space="preserve">The Impact of COVID 19 on Employability Services in Edinburgh and Beyond. </w:t>
      </w:r>
    </w:p>
    <w:p w14:paraId="48A19102" w14:textId="7944E6BE" w:rsidR="00E72B71" w:rsidRDefault="00E72B71" w:rsidP="00E72B71"/>
    <w:p w14:paraId="6355123D" w14:textId="145A244C" w:rsidR="00E72B71" w:rsidRDefault="00E72B71" w:rsidP="00E72B71">
      <w:pPr>
        <w:pStyle w:val="Heading2"/>
      </w:pPr>
      <w:r>
        <w:t>Executive Summary</w:t>
      </w:r>
    </w:p>
    <w:p w14:paraId="5E9B973D" w14:textId="77777777" w:rsidR="00D61D57" w:rsidRDefault="00E72B71" w:rsidP="00D61D57">
      <w:r>
        <w:t xml:space="preserve">This paper looks at the data held on Caselink, the management information system used in Edinburgh, East Lothian and, for a time, Midlothian to look at the impact of the lockdown on services and support. To achieve this, data for the same </w:t>
      </w:r>
      <w:proofErr w:type="gramStart"/>
      <w:r>
        <w:t>time period</w:t>
      </w:r>
      <w:proofErr w:type="gramEnd"/>
      <w:r>
        <w:t xml:space="preserve"> (quarter 1 April-June) in 2018, 2019 and 2020 has been downloaded from the system and analysed. The data was downloaded from Caselink on the 7</w:t>
      </w:r>
      <w:r w:rsidRPr="0072683D">
        <w:rPr>
          <w:vertAlign w:val="superscript"/>
        </w:rPr>
        <w:t>th</w:t>
      </w:r>
      <w:r>
        <w:t xml:space="preserve"> July.</w:t>
      </w:r>
      <w:r w:rsidRPr="00E72B71">
        <w:t xml:space="preserve"> </w:t>
      </w:r>
      <w:r>
        <w:t>In addition to analysing the Caselink data Capital City Partnership also carried out a survey of organisations in late May early June to look at how they were changing services over the course of the pandemic.</w:t>
      </w:r>
      <w:r w:rsidR="00D61D57">
        <w:t xml:space="preserve"> The data that follows in this summary are based simply on the Edinburgh clients.</w:t>
      </w:r>
    </w:p>
    <w:p w14:paraId="66315789" w14:textId="1144AE8D" w:rsidR="00E72B71" w:rsidRDefault="00E72B71" w:rsidP="00D61D57">
      <w:pPr>
        <w:pStyle w:val="ListParagraph"/>
        <w:numPr>
          <w:ilvl w:val="0"/>
          <w:numId w:val="4"/>
        </w:numPr>
      </w:pPr>
      <w:r>
        <w:t xml:space="preserve">Number of new client engagements has fallen by </w:t>
      </w:r>
      <w:r w:rsidR="00D61D57">
        <w:t>59</w:t>
      </w:r>
      <w:r>
        <w:t xml:space="preserve">% if we compare Q1 2019 with Q1 2020. </w:t>
      </w:r>
    </w:p>
    <w:p w14:paraId="12E90AED" w14:textId="1E4311D7" w:rsidR="00D61D57" w:rsidRDefault="00D61D57" w:rsidP="00D61D57">
      <w:r>
        <w:t>Whilst the overall numbers of new starts have fallen</w:t>
      </w:r>
      <w:r w:rsidR="00671A22">
        <w:t>, the data indicates that many of these are either job ready or are young and at the early stage of the employability pipeline.</w:t>
      </w:r>
    </w:p>
    <w:p w14:paraId="478F34C3" w14:textId="0E101A62" w:rsidR="00D61D57" w:rsidRDefault="00D61D57" w:rsidP="00E72B71">
      <w:pPr>
        <w:pStyle w:val="ListParagraph"/>
        <w:numPr>
          <w:ilvl w:val="0"/>
          <w:numId w:val="4"/>
        </w:numPr>
      </w:pPr>
      <w:r>
        <w:t xml:space="preserve">In terms of the initial pipeline stage of these new engagements in </w:t>
      </w:r>
      <w:r>
        <w:t xml:space="preserve">Q1 </w:t>
      </w:r>
      <w:r>
        <w:t xml:space="preserve">2019 24% </w:t>
      </w:r>
      <w:r>
        <w:t xml:space="preserve">of new starts were assessed as being at pipeline stage 4 or 5 </w:t>
      </w:r>
      <w:r>
        <w:t>and in 2020 it was 29%.</w:t>
      </w:r>
      <w:r>
        <w:t xml:space="preserve"> </w:t>
      </w:r>
    </w:p>
    <w:p w14:paraId="058A17A9" w14:textId="09908434" w:rsidR="00E72B71" w:rsidRDefault="00D61D57" w:rsidP="00E72B71">
      <w:pPr>
        <w:pStyle w:val="ListParagraph"/>
        <w:numPr>
          <w:ilvl w:val="0"/>
          <w:numId w:val="4"/>
        </w:numPr>
      </w:pPr>
      <w:r>
        <w:t>In 201</w:t>
      </w:r>
      <w:r>
        <w:t>9</w:t>
      </w:r>
      <w:r>
        <w:t xml:space="preserve"> </w:t>
      </w:r>
      <w:r>
        <w:t>32</w:t>
      </w:r>
      <w:r>
        <w:t>% of new starts were under 20 years of age</w:t>
      </w:r>
      <w:r>
        <w:t xml:space="preserve">. </w:t>
      </w:r>
      <w:r>
        <w:t xml:space="preserve">In 2020 this had </w:t>
      </w:r>
      <w:r>
        <w:t xml:space="preserve">increased </w:t>
      </w:r>
      <w:r>
        <w:t>so that 38% were under the age of 20</w:t>
      </w:r>
      <w:r>
        <w:t>.</w:t>
      </w:r>
      <w:r>
        <w:t xml:space="preserve">  </w:t>
      </w:r>
    </w:p>
    <w:p w14:paraId="705C359E" w14:textId="405D93AD" w:rsidR="00671A22" w:rsidRDefault="00671A22" w:rsidP="00671A22">
      <w:r>
        <w:t xml:space="preserve">Each client who is assessed has barriers identified and recorded on Caselink. These can range from being low skilled, through to issues with drug addiction. </w:t>
      </w:r>
    </w:p>
    <w:p w14:paraId="092CA71B" w14:textId="77777777" w:rsidR="00671A22" w:rsidRDefault="00671A22" w:rsidP="00E82EC9">
      <w:pPr>
        <w:pStyle w:val="ListParagraph"/>
        <w:numPr>
          <w:ilvl w:val="0"/>
          <w:numId w:val="5"/>
        </w:numPr>
      </w:pPr>
      <w:r>
        <w:t>Low Skilled remains the most frequently recorded barrier although as a proportion it has fallen slightly in 2020 when compared to the previous quarters.</w:t>
      </w:r>
    </w:p>
    <w:p w14:paraId="3270D237" w14:textId="77777777" w:rsidR="00671A22" w:rsidRDefault="00671A22" w:rsidP="00E82EC9">
      <w:pPr>
        <w:pStyle w:val="ListParagraph"/>
        <w:numPr>
          <w:ilvl w:val="0"/>
          <w:numId w:val="5"/>
        </w:numPr>
      </w:pPr>
      <w:r>
        <w:t xml:space="preserve">Poor interview skills and CV presentation has been recorded by 42% of new engagements in </w:t>
      </w:r>
      <w:r>
        <w:t>Q</w:t>
      </w:r>
      <w:r>
        <w:t>1 2020 – in 2019 it was 25%.</w:t>
      </w:r>
      <w:r w:rsidRPr="00671A22">
        <w:t xml:space="preserve"> </w:t>
      </w:r>
    </w:p>
    <w:p w14:paraId="64B39EC1" w14:textId="5EB681A1" w:rsidR="00671A22" w:rsidRDefault="00671A22" w:rsidP="00E50487">
      <w:pPr>
        <w:pStyle w:val="ListParagraph"/>
        <w:numPr>
          <w:ilvl w:val="0"/>
          <w:numId w:val="5"/>
        </w:numPr>
      </w:pPr>
      <w:r>
        <w:t xml:space="preserve">The barrier that stands out is </w:t>
      </w:r>
      <w:r w:rsidRPr="00671A22">
        <w:rPr>
          <w:i/>
          <w:iCs/>
        </w:rPr>
        <w:t xml:space="preserve">“Migrants / people with a </w:t>
      </w:r>
      <w:proofErr w:type="gramStart"/>
      <w:r w:rsidRPr="00671A22">
        <w:rPr>
          <w:i/>
          <w:iCs/>
        </w:rPr>
        <w:t>foreign background / minorities</w:t>
      </w:r>
      <w:proofErr w:type="gramEnd"/>
      <w:r w:rsidRPr="00671A22">
        <w:rPr>
          <w:i/>
          <w:iCs/>
        </w:rPr>
        <w:t xml:space="preserve"> (including marginalised communities such as the Roma)”</w:t>
      </w:r>
      <w:r>
        <w:t xml:space="preserve">. In 2018 and 2019 9% of new engagements had this barrier ticked. In 2020 28% -109 clients in total- had this barrier ticked. </w:t>
      </w:r>
    </w:p>
    <w:p w14:paraId="1C81F340" w14:textId="236F687F" w:rsidR="00671A22" w:rsidRDefault="00671A22" w:rsidP="00671A22">
      <w:pPr>
        <w:ind w:left="360"/>
      </w:pPr>
      <w:r>
        <w:t xml:space="preserve">Support has continued to be provided throughout the pandemic, although it has been delivered differently </w:t>
      </w:r>
      <w:r w:rsidR="00536926">
        <w:t xml:space="preserve">often using technology or phone calls. </w:t>
      </w:r>
    </w:p>
    <w:p w14:paraId="1AACFA92" w14:textId="2CEC1DDF" w:rsidR="00536926" w:rsidRDefault="00536926" w:rsidP="00536926">
      <w:pPr>
        <w:pStyle w:val="ListParagraph"/>
        <w:numPr>
          <w:ilvl w:val="0"/>
          <w:numId w:val="6"/>
        </w:numPr>
      </w:pPr>
      <w:r>
        <w:t>In Q1 2019 there were 12,554 support sessions recorded. In Q1 2020 this had increased so 21,891 support sessions were logged on the system.</w:t>
      </w:r>
    </w:p>
    <w:p w14:paraId="7942C29C" w14:textId="5E998721" w:rsidR="00536926" w:rsidRDefault="00536926" w:rsidP="00536926">
      <w:r>
        <w:t>Outcomes and progressions have fallen considerably as opportunities for everything from employment to volunteering have reduced through lockdown and beyond.</w:t>
      </w:r>
    </w:p>
    <w:p w14:paraId="42E1F88C" w14:textId="33286482" w:rsidR="00536926" w:rsidRDefault="00536926" w:rsidP="00536926">
      <w:pPr>
        <w:pStyle w:val="ListParagraph"/>
        <w:numPr>
          <w:ilvl w:val="0"/>
          <w:numId w:val="6"/>
        </w:numPr>
      </w:pPr>
      <w:r>
        <w:t>In Q1 2019 there were 650 outcomes or progressions recorded on Caselink for Edinburgh residents. In Q1 2020 this had fallen to 191.</w:t>
      </w:r>
    </w:p>
    <w:p w14:paraId="38FC3E9B" w14:textId="64A57962" w:rsidR="00DF12AB" w:rsidRDefault="00DF12AB" w:rsidP="00536926">
      <w:pPr>
        <w:pStyle w:val="ListParagraph"/>
        <w:numPr>
          <w:ilvl w:val="0"/>
          <w:numId w:val="6"/>
        </w:numPr>
      </w:pPr>
      <w:r>
        <w:t xml:space="preserve">Full Time job outcomes have been affected less than some other progressions- a fall of 37% comparing 2020 with 2019. </w:t>
      </w:r>
    </w:p>
    <w:p w14:paraId="3B2E80FD" w14:textId="3EE2AE07" w:rsidR="00DF12AB" w:rsidRDefault="00DF12AB" w:rsidP="00DF12AB">
      <w:r>
        <w:t>The service providers survey approached the 18 organisation</w:t>
      </w:r>
      <w:r w:rsidR="007F5E81">
        <w:t>s</w:t>
      </w:r>
      <w:r>
        <w:t xml:space="preserve"> delivering services through contracts for City of Edinburgh Council. From the</w:t>
      </w:r>
      <w:r w:rsidR="007F5E81">
        <w:t xml:space="preserve"> 12 that responded</w:t>
      </w:r>
      <w:r>
        <w:t xml:space="preserve"> we can see </w:t>
      </w:r>
      <w:proofErr w:type="gramStart"/>
      <w:r>
        <w:t>that</w:t>
      </w:r>
      <w:r w:rsidR="007F5E81">
        <w:t>;</w:t>
      </w:r>
      <w:proofErr w:type="gramEnd"/>
    </w:p>
    <w:p w14:paraId="701764FE" w14:textId="77777777" w:rsidR="00DF12AB" w:rsidRDefault="00DF12AB" w:rsidP="00CE63A9">
      <w:pPr>
        <w:pStyle w:val="ListParagraph"/>
        <w:numPr>
          <w:ilvl w:val="0"/>
          <w:numId w:val="7"/>
        </w:numPr>
        <w:spacing w:line="276" w:lineRule="auto"/>
      </w:pPr>
      <w:r>
        <w:t xml:space="preserve">As lockdown started the focus of support delivered changed from employability to the health and wellbeing of clients, especially mental health given the vulnerability of a large percentage of those that are supported. </w:t>
      </w:r>
    </w:p>
    <w:p w14:paraId="736B9794" w14:textId="77777777" w:rsidR="00DF12AB" w:rsidRDefault="00DF12AB" w:rsidP="00CE63A9">
      <w:pPr>
        <w:pStyle w:val="ListParagraph"/>
        <w:numPr>
          <w:ilvl w:val="0"/>
          <w:numId w:val="7"/>
        </w:numPr>
        <w:spacing w:line="276" w:lineRule="auto"/>
      </w:pPr>
      <w:r>
        <w:t xml:space="preserve">The caseworkers did tend to be more proactive looking to engage with all clients, whether they are actively seeking support or not. </w:t>
      </w:r>
    </w:p>
    <w:p w14:paraId="67B8771C" w14:textId="77777777" w:rsidR="00DF12AB" w:rsidRDefault="00DF12AB" w:rsidP="00CE63A9">
      <w:pPr>
        <w:pStyle w:val="ListParagraph"/>
        <w:numPr>
          <w:ilvl w:val="0"/>
          <w:numId w:val="7"/>
        </w:numPr>
        <w:spacing w:line="276" w:lineRule="auto"/>
      </w:pPr>
      <w:r>
        <w:t xml:space="preserve">Providers have been innovative in their ways of communicating with clients – Facebook, Zoom, Teams, Twitter, WhatsApp and even gaming apps such as Discord have been used alongside the traditional phone calls/texts. </w:t>
      </w:r>
    </w:p>
    <w:p w14:paraId="600604B3" w14:textId="77777777" w:rsidR="007F5E81" w:rsidRDefault="00DF12AB" w:rsidP="00F442FB">
      <w:pPr>
        <w:pStyle w:val="ListParagraph"/>
        <w:numPr>
          <w:ilvl w:val="0"/>
          <w:numId w:val="7"/>
        </w:numPr>
        <w:spacing w:line="276" w:lineRule="auto"/>
      </w:pPr>
      <w:r>
        <w:t>Whilst t</w:t>
      </w:r>
      <w:r>
        <w:t>his has also helped providers deliver across multiple areas and for those that work with young people it has meant that they have been able to break geographical boundaries</w:t>
      </w:r>
      <w:r>
        <w:t xml:space="preserve">, </w:t>
      </w:r>
      <w:r>
        <w:t>not all clients engaged have the digital skills or access to equipment to be supported virtually, which many have found challenging.</w:t>
      </w:r>
    </w:p>
    <w:p w14:paraId="1A3FADDE" w14:textId="77777777" w:rsidR="007F5E81" w:rsidRDefault="00DF12AB" w:rsidP="00A379DE">
      <w:pPr>
        <w:pStyle w:val="ListParagraph"/>
        <w:numPr>
          <w:ilvl w:val="0"/>
          <w:numId w:val="7"/>
        </w:numPr>
        <w:spacing w:line="276" w:lineRule="auto"/>
      </w:pPr>
      <w:r>
        <w:t xml:space="preserve">Going forward service delivery methods will have to change; </w:t>
      </w:r>
      <w:r>
        <w:t xml:space="preserve">meetings will require an appointment and no drop ins will be </w:t>
      </w:r>
      <w:r>
        <w:t xml:space="preserve">delivered; </w:t>
      </w:r>
      <w:r w:rsidRPr="00BA1F0F">
        <w:t>numbers will be reduced in groups; days altered and new activities planned where the impact of COVID19 means the previously stated activity is no longer possible.</w:t>
      </w:r>
      <w:r w:rsidR="007F5E81" w:rsidRPr="007F5E81">
        <w:t xml:space="preserve"> </w:t>
      </w:r>
    </w:p>
    <w:p w14:paraId="62A7A71E" w14:textId="0B995D72" w:rsidR="007F5E81" w:rsidRDefault="007F5E81" w:rsidP="00A379DE">
      <w:pPr>
        <w:pStyle w:val="ListParagraph"/>
        <w:numPr>
          <w:ilvl w:val="0"/>
          <w:numId w:val="7"/>
        </w:numPr>
        <w:spacing w:line="276" w:lineRule="auto"/>
      </w:pPr>
      <w:r w:rsidRPr="00611CE3">
        <w:t xml:space="preserve">The limited space </w:t>
      </w:r>
      <w:r>
        <w:t xml:space="preserve">in offices was </w:t>
      </w:r>
      <w:r w:rsidRPr="00611CE3">
        <w:t xml:space="preserve">raised as an issue </w:t>
      </w:r>
      <w:r>
        <w:t xml:space="preserve">and </w:t>
      </w:r>
      <w:r w:rsidRPr="00611CE3">
        <w:t>all providers will be limiting the number of service users/staff in premises at any one time.</w:t>
      </w:r>
      <w:r>
        <w:t xml:space="preserve"> </w:t>
      </w:r>
      <w:r w:rsidRPr="00611CE3">
        <w:t>There will still be a phased return with many planning to have a blend of home and office working.</w:t>
      </w:r>
      <w:r w:rsidRPr="00B634CF">
        <w:t xml:space="preserve"> Some larger organisations are considering leasing more space at least on a temporary basis.</w:t>
      </w:r>
    </w:p>
    <w:p w14:paraId="77328301" w14:textId="77777777" w:rsidR="007F5E81" w:rsidRDefault="007F5E81" w:rsidP="00425E6A">
      <w:pPr>
        <w:pStyle w:val="ListParagraph"/>
        <w:numPr>
          <w:ilvl w:val="0"/>
          <w:numId w:val="7"/>
        </w:numPr>
        <w:spacing w:after="0" w:line="276" w:lineRule="auto"/>
      </w:pPr>
      <w:r>
        <w:t>Providers have also had to ensure staff are safe and comfortable working from home, with regular virtual meetings taking place as well as social activities to ensure staff remain connected.</w:t>
      </w:r>
      <w:r w:rsidRPr="0095761B">
        <w:t xml:space="preserve"> </w:t>
      </w:r>
      <w:r>
        <w:t xml:space="preserve">Staff have also been using the time to upskill and as well as volunteering to support the COVID19 crisis in their localities. </w:t>
      </w:r>
    </w:p>
    <w:p w14:paraId="082C68B4" w14:textId="77777777" w:rsidR="00671A22" w:rsidRDefault="00671A22" w:rsidP="00671A22"/>
    <w:p w14:paraId="612F2C5B" w14:textId="77777777" w:rsidR="00E72B71" w:rsidRPr="00E72B71" w:rsidRDefault="00E72B71" w:rsidP="00E72B71"/>
    <w:p w14:paraId="5430867B" w14:textId="69C59A77" w:rsidR="00E72B71" w:rsidRDefault="00E72B71">
      <w:r>
        <w:br w:type="page"/>
      </w:r>
    </w:p>
    <w:p w14:paraId="3EEC903C" w14:textId="6289416A" w:rsidR="00647A4E" w:rsidRDefault="00647A4E" w:rsidP="00647A4E">
      <w:pPr>
        <w:pStyle w:val="Heading2"/>
      </w:pPr>
      <w:r>
        <w:t>Introduction</w:t>
      </w:r>
    </w:p>
    <w:p w14:paraId="7FFED251" w14:textId="0FF58D9E" w:rsidR="001F5698" w:rsidRDefault="001F5698">
      <w:r>
        <w:t xml:space="preserve">Employability services that are being delivered both in the City Region and in Edinburgh tend to focus on interaction, 1:1 meetings and face to face support dominate in the methods that agencies choose to deliver services. As the country entered lockdown at the end of March and continued to be guided </w:t>
      </w:r>
      <w:r w:rsidR="008A4C3E">
        <w:t xml:space="preserve">by the health experts </w:t>
      </w:r>
      <w:r>
        <w:t xml:space="preserve">to avoid all unnecessary contact into July there was clearly going to be an impact on the way in which people received support. </w:t>
      </w:r>
    </w:p>
    <w:p w14:paraId="0FADD352" w14:textId="025B4983" w:rsidR="001F5698" w:rsidRDefault="001F5698">
      <w:bookmarkStart w:id="0" w:name="_Hlk48025480"/>
      <w:r>
        <w:t>This paper looks at the data held on Caselink, the management information system used in Edinburgh, East Lothian and, for a time</w:t>
      </w:r>
      <w:r w:rsidR="003D7469">
        <w:t>,</w:t>
      </w:r>
      <w:r>
        <w:t xml:space="preserve"> Midlothian to look at the impact of the lockdown on services and support. To achieve</w:t>
      </w:r>
      <w:r w:rsidR="00D032A1">
        <w:t xml:space="preserve"> this</w:t>
      </w:r>
      <w:r w:rsidR="00913AC6">
        <w:t>,</w:t>
      </w:r>
      <w:r w:rsidR="00F841B7">
        <w:t xml:space="preserve"> </w:t>
      </w:r>
      <w:r>
        <w:t xml:space="preserve">data for the same </w:t>
      </w:r>
      <w:proofErr w:type="gramStart"/>
      <w:r>
        <w:t>time period</w:t>
      </w:r>
      <w:proofErr w:type="gramEnd"/>
      <w:r>
        <w:t xml:space="preserve"> (quarter 1 April-June) in 2018, 2019 and 2020 has been downloaded from the system and analysed. This demonstrates how the pandemic and the measures put in place to reduce infection has impacted on service take up. </w:t>
      </w:r>
    </w:p>
    <w:p w14:paraId="05FD2279" w14:textId="031FC756" w:rsidR="0072683D" w:rsidRDefault="0072683D">
      <w:r>
        <w:t>The discussion also includes the results of a survey of Caselink users as to how they were changing services over the course of the pandemic. Whilst this is more anecdotal it is useful as it illustrates how staff at the organisations delivering the services have been impacted by COVID 19 and what innovative approaches they have taken to try and ensure that they continue to provide support to those most in need</w:t>
      </w:r>
      <w:r w:rsidR="00647A4E">
        <w:t xml:space="preserve">. </w:t>
      </w:r>
    </w:p>
    <w:bookmarkEnd w:id="0"/>
    <w:p w14:paraId="72E85E6C" w14:textId="77777777" w:rsidR="00A53995" w:rsidRDefault="00A53995" w:rsidP="00647A4E">
      <w:pPr>
        <w:pStyle w:val="Heading2"/>
      </w:pPr>
    </w:p>
    <w:p w14:paraId="7A3F2E53" w14:textId="25B6DA7B" w:rsidR="00647A4E" w:rsidRDefault="00647A4E" w:rsidP="00647A4E">
      <w:pPr>
        <w:pStyle w:val="Heading2"/>
      </w:pPr>
      <w:r>
        <w:t>Methodology</w:t>
      </w:r>
    </w:p>
    <w:p w14:paraId="30446F2B" w14:textId="24C0FF8E" w:rsidR="001F5698" w:rsidRDefault="001F5698">
      <w:r>
        <w:t xml:space="preserve">The data was downloaded from Caselink </w:t>
      </w:r>
      <w:r w:rsidR="0072683D">
        <w:t>on the 7</w:t>
      </w:r>
      <w:r w:rsidR="0072683D" w:rsidRPr="0072683D">
        <w:rPr>
          <w:vertAlign w:val="superscript"/>
        </w:rPr>
        <w:t>th</w:t>
      </w:r>
      <w:r w:rsidR="0072683D">
        <w:t xml:space="preserve"> July so there is a possibility that additional data has been added to the 2020 set since then. The data is split into 2 groups. The first group looks at all Caselink records regardless of where the service is being delivered or where the funding comes from. This group includes all the East Lothian and Midlothian records but will also include records that organisations add for services delivered elsewhere. For example, RUT</w:t>
      </w:r>
      <w:r w:rsidR="00495DA2">
        <w:t>S</w:t>
      </w:r>
      <w:r w:rsidR="0072683D">
        <w:t xml:space="preserve"> have recorded work in Falkirk, </w:t>
      </w:r>
      <w:proofErr w:type="gramStart"/>
      <w:r w:rsidR="0072683D">
        <w:t>Fife</w:t>
      </w:r>
      <w:proofErr w:type="gramEnd"/>
      <w:r w:rsidR="0072683D">
        <w:t xml:space="preserve"> and West Lothian whilst Access to Industry have in the past added details of a project based in Lanarkshire. The second group looks simply at the Edinburgh situation, focusing on projects funded by the Council and or delivering in the City. Keeping </w:t>
      </w:r>
      <w:proofErr w:type="gramStart"/>
      <w:r w:rsidR="0072683D">
        <w:t>both of these</w:t>
      </w:r>
      <w:proofErr w:type="gramEnd"/>
      <w:r w:rsidR="0072683D">
        <w:t xml:space="preserve"> groups as wide as possible ensures that the sample is large and also reduces year to year changes simply based on difference</w:t>
      </w:r>
      <w:r w:rsidR="001B55D6">
        <w:t>s</w:t>
      </w:r>
      <w:r w:rsidR="0072683D">
        <w:t xml:space="preserve"> in funding</w:t>
      </w:r>
      <w:r w:rsidR="001B55D6">
        <w:t xml:space="preserve"> removing (or adding) records to the data set</w:t>
      </w:r>
      <w:r w:rsidR="0072683D">
        <w:t xml:space="preserve">. </w:t>
      </w:r>
    </w:p>
    <w:p w14:paraId="5637F404" w14:textId="46DF8D5B" w:rsidR="0072683D" w:rsidRDefault="0072683D" w:rsidP="00647A4E">
      <w:pPr>
        <w:pStyle w:val="Heading2"/>
      </w:pPr>
      <w:r>
        <w:t xml:space="preserve">Overall Engagements </w:t>
      </w:r>
    </w:p>
    <w:p w14:paraId="093EC556" w14:textId="4EDD054C" w:rsidR="00842D3D" w:rsidRDefault="00842D3D" w:rsidP="00842D3D">
      <w:r>
        <w:t xml:space="preserve">Engagements are the way in which new starts are recorded on the system. </w:t>
      </w:r>
      <w:proofErr w:type="gramStart"/>
      <w:r>
        <w:t>It</w:t>
      </w:r>
      <w:r w:rsidR="00495DA2">
        <w:t>’</w:t>
      </w:r>
      <w:r>
        <w:t>s</w:t>
      </w:r>
      <w:proofErr w:type="gramEnd"/>
      <w:r>
        <w:t xml:space="preserve"> important </w:t>
      </w:r>
      <w:r w:rsidR="00F76A42">
        <w:t xml:space="preserve">for projects to have </w:t>
      </w:r>
      <w:r>
        <w:t xml:space="preserve">new starts </w:t>
      </w:r>
      <w:r w:rsidR="00571101">
        <w:t xml:space="preserve">engaging, as they </w:t>
      </w:r>
      <w:r>
        <w:t>will form the foundation for future outcomes</w:t>
      </w:r>
      <w:r w:rsidR="00571101">
        <w:t>. I</w:t>
      </w:r>
      <w:r>
        <w:t>f engagements are lower</w:t>
      </w:r>
      <w:r w:rsidR="00571101">
        <w:t>,</w:t>
      </w:r>
      <w:r w:rsidR="00E973AC">
        <w:t xml:space="preserve"> </w:t>
      </w:r>
      <w:r>
        <w:t xml:space="preserve">then going forward all things being equal there will be a proportional reduction in the number of outcomes and progressions recorded. </w:t>
      </w:r>
    </w:p>
    <w:p w14:paraId="5627562A" w14:textId="7120DA04" w:rsidR="0072683D" w:rsidRDefault="0072683D" w:rsidP="00842D3D">
      <w:pPr>
        <w:pStyle w:val="Heading3"/>
      </w:pPr>
      <w:r>
        <w:t xml:space="preserve">Table 1 </w:t>
      </w:r>
      <w:r w:rsidR="00842D3D">
        <w:t xml:space="preserve">Caselink Engagements </w:t>
      </w:r>
      <w:r w:rsidR="00B2307E">
        <w:t>Quarter 1 (April-June)</w:t>
      </w:r>
    </w:p>
    <w:tbl>
      <w:tblPr>
        <w:tblStyle w:val="TableGrid"/>
        <w:tblW w:w="0" w:type="auto"/>
        <w:tblLook w:val="04A0" w:firstRow="1" w:lastRow="0" w:firstColumn="1" w:lastColumn="0" w:noHBand="0" w:noVBand="1"/>
      </w:tblPr>
      <w:tblGrid>
        <w:gridCol w:w="3539"/>
        <w:gridCol w:w="851"/>
        <w:gridCol w:w="850"/>
        <w:gridCol w:w="851"/>
        <w:gridCol w:w="1275"/>
      </w:tblGrid>
      <w:tr w:rsidR="00842D3D" w14:paraId="7AB1E4A7" w14:textId="77777777" w:rsidTr="00540662">
        <w:tc>
          <w:tcPr>
            <w:tcW w:w="3539" w:type="dxa"/>
          </w:tcPr>
          <w:p w14:paraId="2A9D4E6B" w14:textId="77777777" w:rsidR="00842D3D" w:rsidRDefault="00842D3D"/>
        </w:tc>
        <w:tc>
          <w:tcPr>
            <w:tcW w:w="851" w:type="dxa"/>
          </w:tcPr>
          <w:p w14:paraId="6FD61EA2" w14:textId="71257124" w:rsidR="00842D3D" w:rsidRDefault="00842D3D">
            <w:r>
              <w:t>2018</w:t>
            </w:r>
          </w:p>
        </w:tc>
        <w:tc>
          <w:tcPr>
            <w:tcW w:w="850" w:type="dxa"/>
          </w:tcPr>
          <w:p w14:paraId="04621CCC" w14:textId="311E4B26" w:rsidR="00842D3D" w:rsidRDefault="00842D3D">
            <w:r>
              <w:t>2019</w:t>
            </w:r>
          </w:p>
        </w:tc>
        <w:tc>
          <w:tcPr>
            <w:tcW w:w="851" w:type="dxa"/>
          </w:tcPr>
          <w:p w14:paraId="42F77FF9" w14:textId="52542061" w:rsidR="00842D3D" w:rsidRDefault="00842D3D">
            <w:r>
              <w:t>2020</w:t>
            </w:r>
          </w:p>
        </w:tc>
        <w:tc>
          <w:tcPr>
            <w:tcW w:w="1275" w:type="dxa"/>
          </w:tcPr>
          <w:p w14:paraId="2BF54056" w14:textId="636582C3" w:rsidR="00842D3D" w:rsidRDefault="006B745A">
            <w:r>
              <w:t>2019-2020</w:t>
            </w:r>
          </w:p>
        </w:tc>
      </w:tr>
      <w:tr w:rsidR="00842D3D" w14:paraId="40521CF2" w14:textId="77777777" w:rsidTr="00540662">
        <w:tc>
          <w:tcPr>
            <w:tcW w:w="3539" w:type="dxa"/>
          </w:tcPr>
          <w:p w14:paraId="159DCA77" w14:textId="75072043" w:rsidR="00842D3D" w:rsidRDefault="00842D3D">
            <w:r>
              <w:t>All Records</w:t>
            </w:r>
          </w:p>
        </w:tc>
        <w:tc>
          <w:tcPr>
            <w:tcW w:w="851" w:type="dxa"/>
          </w:tcPr>
          <w:p w14:paraId="616CEB01" w14:textId="18F7DFD8" w:rsidR="00842D3D" w:rsidRPr="00716F89" w:rsidRDefault="00842D3D">
            <w:r w:rsidRPr="00716F89">
              <w:t>127</w:t>
            </w:r>
            <w:r w:rsidR="00716F89" w:rsidRPr="00716F89">
              <w:t>6</w:t>
            </w:r>
          </w:p>
        </w:tc>
        <w:tc>
          <w:tcPr>
            <w:tcW w:w="850" w:type="dxa"/>
          </w:tcPr>
          <w:p w14:paraId="2A8072E9" w14:textId="29009AF0" w:rsidR="00842D3D" w:rsidRPr="00716F89" w:rsidRDefault="00842D3D">
            <w:r w:rsidRPr="00716F89">
              <w:t>123</w:t>
            </w:r>
            <w:r w:rsidR="00716F89" w:rsidRPr="00716F89">
              <w:t>8</w:t>
            </w:r>
          </w:p>
        </w:tc>
        <w:tc>
          <w:tcPr>
            <w:tcW w:w="851" w:type="dxa"/>
          </w:tcPr>
          <w:p w14:paraId="1CC51D8D" w14:textId="7E1C5212" w:rsidR="00842D3D" w:rsidRPr="00716F89" w:rsidRDefault="00842D3D">
            <w:r w:rsidRPr="00716F89">
              <w:t>49</w:t>
            </w:r>
            <w:r w:rsidR="00716F89" w:rsidRPr="00716F89">
              <w:t>6</w:t>
            </w:r>
          </w:p>
        </w:tc>
        <w:tc>
          <w:tcPr>
            <w:tcW w:w="1275" w:type="dxa"/>
          </w:tcPr>
          <w:p w14:paraId="510B79F2" w14:textId="337527F7" w:rsidR="00842D3D" w:rsidRPr="00716F89" w:rsidRDefault="006B745A">
            <w:r w:rsidRPr="00716F89">
              <w:t>-60%</w:t>
            </w:r>
          </w:p>
        </w:tc>
      </w:tr>
      <w:tr w:rsidR="00842D3D" w14:paraId="1061A20C" w14:textId="77777777" w:rsidTr="00540662">
        <w:tc>
          <w:tcPr>
            <w:tcW w:w="3539" w:type="dxa"/>
          </w:tcPr>
          <w:p w14:paraId="292D3633" w14:textId="78195787" w:rsidR="00842D3D" w:rsidRDefault="00842D3D">
            <w:r>
              <w:t>Edinburgh</w:t>
            </w:r>
          </w:p>
        </w:tc>
        <w:tc>
          <w:tcPr>
            <w:tcW w:w="851" w:type="dxa"/>
          </w:tcPr>
          <w:p w14:paraId="4685048A" w14:textId="759EAAE3" w:rsidR="00842D3D" w:rsidRDefault="00842D3D">
            <w:r>
              <w:t>10</w:t>
            </w:r>
            <w:r w:rsidR="00EC67D5">
              <w:t>27</w:t>
            </w:r>
          </w:p>
        </w:tc>
        <w:tc>
          <w:tcPr>
            <w:tcW w:w="850" w:type="dxa"/>
          </w:tcPr>
          <w:p w14:paraId="780BFCF1" w14:textId="122C64F5" w:rsidR="00842D3D" w:rsidRDefault="0099789E">
            <w:r>
              <w:t>959</w:t>
            </w:r>
          </w:p>
        </w:tc>
        <w:tc>
          <w:tcPr>
            <w:tcW w:w="851" w:type="dxa"/>
          </w:tcPr>
          <w:p w14:paraId="7EF3AF72" w14:textId="73D215B1" w:rsidR="00842D3D" w:rsidRDefault="0099789E">
            <w:r>
              <w:t>394</w:t>
            </w:r>
          </w:p>
        </w:tc>
        <w:tc>
          <w:tcPr>
            <w:tcW w:w="1275" w:type="dxa"/>
          </w:tcPr>
          <w:p w14:paraId="659E9908" w14:textId="4FDA61A3" w:rsidR="00842D3D" w:rsidRDefault="006B745A">
            <w:r>
              <w:t>-5</w:t>
            </w:r>
            <w:r w:rsidR="007277DD">
              <w:t>9</w:t>
            </w:r>
            <w:r>
              <w:t>%</w:t>
            </w:r>
          </w:p>
        </w:tc>
      </w:tr>
      <w:tr w:rsidR="006B745A" w14:paraId="11F792CB" w14:textId="77777777" w:rsidTr="00540662">
        <w:tc>
          <w:tcPr>
            <w:tcW w:w="3539" w:type="dxa"/>
          </w:tcPr>
          <w:p w14:paraId="1E399A10" w14:textId="7F4BB997" w:rsidR="006B745A" w:rsidRDefault="00540662">
            <w:r>
              <w:t>Edinburgh Claimant Count (May)</w:t>
            </w:r>
          </w:p>
        </w:tc>
        <w:tc>
          <w:tcPr>
            <w:tcW w:w="851" w:type="dxa"/>
          </w:tcPr>
          <w:p w14:paraId="22D82704" w14:textId="440F5896" w:rsidR="006B745A" w:rsidRDefault="00540662">
            <w:r>
              <w:t>4,940</w:t>
            </w:r>
          </w:p>
        </w:tc>
        <w:tc>
          <w:tcPr>
            <w:tcW w:w="850" w:type="dxa"/>
          </w:tcPr>
          <w:p w14:paraId="595D77B4" w14:textId="594E3392" w:rsidR="006B745A" w:rsidRDefault="00540662">
            <w:r>
              <w:t>5,890</w:t>
            </w:r>
          </w:p>
        </w:tc>
        <w:tc>
          <w:tcPr>
            <w:tcW w:w="851" w:type="dxa"/>
          </w:tcPr>
          <w:p w14:paraId="71C61785" w14:textId="2E577410" w:rsidR="006B745A" w:rsidRDefault="00540662">
            <w:r>
              <w:t>17,885</w:t>
            </w:r>
          </w:p>
        </w:tc>
        <w:tc>
          <w:tcPr>
            <w:tcW w:w="1275" w:type="dxa"/>
          </w:tcPr>
          <w:p w14:paraId="57812F11" w14:textId="57C18937" w:rsidR="006B745A" w:rsidRDefault="00540662">
            <w:r>
              <w:t>+204%</w:t>
            </w:r>
          </w:p>
        </w:tc>
      </w:tr>
    </w:tbl>
    <w:p w14:paraId="1B7944DB" w14:textId="786915B7" w:rsidR="00842D3D" w:rsidRDefault="00540662">
      <w:r>
        <w:t>Source: Caselink and NOMIS</w:t>
      </w:r>
    </w:p>
    <w:p w14:paraId="38A57330" w14:textId="6D610E2B" w:rsidR="00842D3D" w:rsidRDefault="00842D3D" w:rsidP="00842D3D">
      <w:r>
        <w:t>Generally a fall in engagement numbers may be a reflection in a fall in the number of people needing support and could be seen as a positive reflection of the fact that the labour market is stimulating demand for labour without the need for additional support. However</w:t>
      </w:r>
      <w:r w:rsidR="00540662">
        <w:t>,</w:t>
      </w:r>
      <w:r>
        <w:t xml:space="preserve"> the situation in 2020 does not follow these norms </w:t>
      </w:r>
      <w:r w:rsidR="00540662">
        <w:t xml:space="preserve">and it can be seen that </w:t>
      </w:r>
      <w:r w:rsidR="00CD7AC1">
        <w:t xml:space="preserve">whilst </w:t>
      </w:r>
      <w:r w:rsidR="00540662">
        <w:t xml:space="preserve">the claimant </w:t>
      </w:r>
      <w:proofErr w:type="gramStart"/>
      <w:r w:rsidR="00540662">
        <w:t>count</w:t>
      </w:r>
      <w:proofErr w:type="gramEnd"/>
      <w:r w:rsidR="00540662">
        <w:t xml:space="preserve"> increased year on year the number of new engagements has fallen. This isn’t surprising given the fact that the measures taken to tackle the virus have focused on reducing social inter</w:t>
      </w:r>
      <w:r w:rsidR="001D5818">
        <w:t>action, temporarily closing many sectors of the economy and calling on people to stay at home to help the health professionals fight the pandemic.</w:t>
      </w:r>
    </w:p>
    <w:p w14:paraId="7937F2B5" w14:textId="77777777" w:rsidR="00A26F9F" w:rsidRDefault="001D5818" w:rsidP="00842D3D">
      <w:r>
        <w:t>So overall numbers are down on previous years, the next area to look at is if there are any changes to the profile of the group</w:t>
      </w:r>
      <w:r w:rsidR="00A26F9F">
        <w:t xml:space="preserve"> engaging in 2020 compared to previous quarters. </w:t>
      </w:r>
      <w:r>
        <w:t>Table 2 looks at the gender split of the new engagements</w:t>
      </w:r>
      <w:r w:rsidR="00B2307E">
        <w:t xml:space="preserve"> and focuses on Edinburgh</w:t>
      </w:r>
      <w:r>
        <w:t>.</w:t>
      </w:r>
      <w:r w:rsidR="00B2307E">
        <w:t xml:space="preserve"> </w:t>
      </w:r>
    </w:p>
    <w:p w14:paraId="3AE53EFC" w14:textId="41CC12C0" w:rsidR="001D5818" w:rsidRDefault="00B2307E" w:rsidP="00B2307E">
      <w:pPr>
        <w:pStyle w:val="Heading3"/>
      </w:pPr>
      <w:r>
        <w:t>Table 2 Gender Split of New Engagements Quarter 1 (April-June)</w:t>
      </w:r>
    </w:p>
    <w:tbl>
      <w:tblPr>
        <w:tblStyle w:val="TableGrid"/>
        <w:tblW w:w="0" w:type="auto"/>
        <w:tblLook w:val="04A0" w:firstRow="1" w:lastRow="0" w:firstColumn="1" w:lastColumn="0" w:noHBand="0" w:noVBand="1"/>
      </w:tblPr>
      <w:tblGrid>
        <w:gridCol w:w="1803"/>
        <w:gridCol w:w="1803"/>
        <w:gridCol w:w="1803"/>
        <w:gridCol w:w="1803"/>
        <w:gridCol w:w="1804"/>
      </w:tblGrid>
      <w:tr w:rsidR="007277DD" w14:paraId="290A1DA0" w14:textId="77777777" w:rsidTr="00E72B71">
        <w:tc>
          <w:tcPr>
            <w:tcW w:w="1803" w:type="dxa"/>
          </w:tcPr>
          <w:p w14:paraId="466E88B2" w14:textId="77777777" w:rsidR="007277DD" w:rsidRDefault="007277DD" w:rsidP="00842D3D"/>
        </w:tc>
        <w:tc>
          <w:tcPr>
            <w:tcW w:w="3606" w:type="dxa"/>
            <w:gridSpan w:val="2"/>
          </w:tcPr>
          <w:p w14:paraId="35208194" w14:textId="7D351AD0" w:rsidR="007277DD" w:rsidRDefault="007277DD" w:rsidP="00842D3D">
            <w:r>
              <w:t>Male</w:t>
            </w:r>
          </w:p>
        </w:tc>
        <w:tc>
          <w:tcPr>
            <w:tcW w:w="3607" w:type="dxa"/>
            <w:gridSpan w:val="2"/>
          </w:tcPr>
          <w:p w14:paraId="1FAF7437" w14:textId="4C4D3090" w:rsidR="007277DD" w:rsidRDefault="007277DD" w:rsidP="00842D3D">
            <w:r>
              <w:t>Female</w:t>
            </w:r>
          </w:p>
        </w:tc>
      </w:tr>
      <w:tr w:rsidR="00B2307E" w14:paraId="076D7C8B" w14:textId="77777777" w:rsidTr="00B2307E">
        <w:tc>
          <w:tcPr>
            <w:tcW w:w="1803" w:type="dxa"/>
          </w:tcPr>
          <w:p w14:paraId="6E807E50" w14:textId="77777777" w:rsidR="00B2307E" w:rsidRDefault="00B2307E" w:rsidP="00842D3D"/>
        </w:tc>
        <w:tc>
          <w:tcPr>
            <w:tcW w:w="1803" w:type="dxa"/>
          </w:tcPr>
          <w:p w14:paraId="527ABF98" w14:textId="2693B52E" w:rsidR="00B2307E" w:rsidRDefault="00B2307E" w:rsidP="00842D3D">
            <w:r>
              <w:t>Count</w:t>
            </w:r>
          </w:p>
        </w:tc>
        <w:tc>
          <w:tcPr>
            <w:tcW w:w="1803" w:type="dxa"/>
          </w:tcPr>
          <w:p w14:paraId="4A14FFDD" w14:textId="347C048F" w:rsidR="00B2307E" w:rsidRDefault="00B2307E" w:rsidP="00842D3D">
            <w:r>
              <w:t>%</w:t>
            </w:r>
            <w:r w:rsidR="00AD0B07">
              <w:t xml:space="preserve"> of total </w:t>
            </w:r>
          </w:p>
        </w:tc>
        <w:tc>
          <w:tcPr>
            <w:tcW w:w="1803" w:type="dxa"/>
          </w:tcPr>
          <w:p w14:paraId="22A88C5E" w14:textId="24B64529" w:rsidR="00B2307E" w:rsidRDefault="00B2307E" w:rsidP="00842D3D">
            <w:r>
              <w:t>Count</w:t>
            </w:r>
          </w:p>
        </w:tc>
        <w:tc>
          <w:tcPr>
            <w:tcW w:w="1804" w:type="dxa"/>
          </w:tcPr>
          <w:p w14:paraId="371DA5C6" w14:textId="74EDE477" w:rsidR="00B2307E" w:rsidRDefault="00B2307E" w:rsidP="00842D3D">
            <w:r>
              <w:t>%</w:t>
            </w:r>
            <w:r w:rsidR="00AD0B07">
              <w:t xml:space="preserve"> of total</w:t>
            </w:r>
          </w:p>
        </w:tc>
      </w:tr>
      <w:tr w:rsidR="00B2307E" w14:paraId="19F5E387" w14:textId="77777777" w:rsidTr="00B2307E">
        <w:tc>
          <w:tcPr>
            <w:tcW w:w="1803" w:type="dxa"/>
          </w:tcPr>
          <w:p w14:paraId="1EAAFDE3" w14:textId="09486765" w:rsidR="00B2307E" w:rsidRDefault="00B2307E" w:rsidP="00842D3D">
            <w:r>
              <w:t>2018</w:t>
            </w:r>
          </w:p>
        </w:tc>
        <w:tc>
          <w:tcPr>
            <w:tcW w:w="1803" w:type="dxa"/>
          </w:tcPr>
          <w:p w14:paraId="20DAB254" w14:textId="38AD575C" w:rsidR="00B2307E" w:rsidRDefault="00B2307E" w:rsidP="00842D3D">
            <w:r>
              <w:t>632</w:t>
            </w:r>
          </w:p>
        </w:tc>
        <w:tc>
          <w:tcPr>
            <w:tcW w:w="1803" w:type="dxa"/>
          </w:tcPr>
          <w:p w14:paraId="00F7F139" w14:textId="4F911FED" w:rsidR="00B2307E" w:rsidRDefault="00B2307E" w:rsidP="00842D3D">
            <w:r>
              <w:t>61.5</w:t>
            </w:r>
          </w:p>
        </w:tc>
        <w:tc>
          <w:tcPr>
            <w:tcW w:w="1803" w:type="dxa"/>
          </w:tcPr>
          <w:p w14:paraId="42EDCDBB" w14:textId="6114EE43" w:rsidR="00B2307E" w:rsidRDefault="00B2307E" w:rsidP="00842D3D">
            <w:r>
              <w:t>395</w:t>
            </w:r>
          </w:p>
        </w:tc>
        <w:tc>
          <w:tcPr>
            <w:tcW w:w="1804" w:type="dxa"/>
          </w:tcPr>
          <w:p w14:paraId="37FA575A" w14:textId="730C3360" w:rsidR="00B2307E" w:rsidRDefault="00B2307E" w:rsidP="00842D3D">
            <w:r>
              <w:t>38.5</w:t>
            </w:r>
          </w:p>
        </w:tc>
      </w:tr>
      <w:tr w:rsidR="00B2307E" w14:paraId="28DD0182" w14:textId="77777777" w:rsidTr="00B2307E">
        <w:tc>
          <w:tcPr>
            <w:tcW w:w="1803" w:type="dxa"/>
          </w:tcPr>
          <w:p w14:paraId="041F4D15" w14:textId="7A11D562" w:rsidR="00B2307E" w:rsidRDefault="00B2307E" w:rsidP="00842D3D">
            <w:r>
              <w:t>2019</w:t>
            </w:r>
          </w:p>
        </w:tc>
        <w:tc>
          <w:tcPr>
            <w:tcW w:w="1803" w:type="dxa"/>
          </w:tcPr>
          <w:p w14:paraId="3FDCDCD2" w14:textId="7B5DF221" w:rsidR="00B2307E" w:rsidRDefault="00B2307E" w:rsidP="00842D3D">
            <w:r>
              <w:t>662</w:t>
            </w:r>
          </w:p>
        </w:tc>
        <w:tc>
          <w:tcPr>
            <w:tcW w:w="1803" w:type="dxa"/>
          </w:tcPr>
          <w:p w14:paraId="171034FD" w14:textId="608525ED" w:rsidR="00B2307E" w:rsidRDefault="00B2307E" w:rsidP="00842D3D">
            <w:r>
              <w:t>69.0</w:t>
            </w:r>
          </w:p>
        </w:tc>
        <w:tc>
          <w:tcPr>
            <w:tcW w:w="1803" w:type="dxa"/>
          </w:tcPr>
          <w:p w14:paraId="63CD9970" w14:textId="0A65DA3A" w:rsidR="00B2307E" w:rsidRDefault="00B2307E" w:rsidP="00842D3D">
            <w:r>
              <w:t>297</w:t>
            </w:r>
          </w:p>
        </w:tc>
        <w:tc>
          <w:tcPr>
            <w:tcW w:w="1804" w:type="dxa"/>
          </w:tcPr>
          <w:p w14:paraId="61843B1F" w14:textId="513ABEE5" w:rsidR="00B2307E" w:rsidRDefault="00B2307E" w:rsidP="00842D3D">
            <w:r>
              <w:t>31.0</w:t>
            </w:r>
          </w:p>
        </w:tc>
      </w:tr>
      <w:tr w:rsidR="00B2307E" w14:paraId="1C5BD0CB" w14:textId="77777777" w:rsidTr="00B2307E">
        <w:tc>
          <w:tcPr>
            <w:tcW w:w="1803" w:type="dxa"/>
          </w:tcPr>
          <w:p w14:paraId="418FAB9F" w14:textId="704DB282" w:rsidR="00B2307E" w:rsidRDefault="00B2307E" w:rsidP="00842D3D">
            <w:r>
              <w:t>2020</w:t>
            </w:r>
          </w:p>
        </w:tc>
        <w:tc>
          <w:tcPr>
            <w:tcW w:w="1803" w:type="dxa"/>
          </w:tcPr>
          <w:p w14:paraId="3FB7D2F8" w14:textId="46214153" w:rsidR="00B2307E" w:rsidRDefault="00B2307E" w:rsidP="00842D3D">
            <w:r>
              <w:t>238</w:t>
            </w:r>
          </w:p>
        </w:tc>
        <w:tc>
          <w:tcPr>
            <w:tcW w:w="1803" w:type="dxa"/>
          </w:tcPr>
          <w:p w14:paraId="0A2556A1" w14:textId="0F5BA118" w:rsidR="00B2307E" w:rsidRDefault="00B2307E" w:rsidP="00842D3D">
            <w:r>
              <w:t>60.4</w:t>
            </w:r>
          </w:p>
        </w:tc>
        <w:tc>
          <w:tcPr>
            <w:tcW w:w="1803" w:type="dxa"/>
          </w:tcPr>
          <w:p w14:paraId="55790C7E" w14:textId="17D555D8" w:rsidR="00B2307E" w:rsidRDefault="00B2307E" w:rsidP="00842D3D">
            <w:r>
              <w:t>156</w:t>
            </w:r>
          </w:p>
        </w:tc>
        <w:tc>
          <w:tcPr>
            <w:tcW w:w="1804" w:type="dxa"/>
          </w:tcPr>
          <w:p w14:paraId="1FE12BD8" w14:textId="7890AB26" w:rsidR="00B2307E" w:rsidRDefault="00B2307E" w:rsidP="00842D3D">
            <w:r>
              <w:t>39.6</w:t>
            </w:r>
          </w:p>
        </w:tc>
      </w:tr>
    </w:tbl>
    <w:p w14:paraId="3636AB7C" w14:textId="36AEE5EA" w:rsidR="00B2307E" w:rsidRDefault="00B2307E" w:rsidP="00842D3D">
      <w:r>
        <w:t>Source: Caselink</w:t>
      </w:r>
    </w:p>
    <w:p w14:paraId="6EB71613" w14:textId="7AEC3D51" w:rsidR="00B2307E" w:rsidRDefault="00AD0B07" w:rsidP="00842D3D">
      <w:r>
        <w:t xml:space="preserve">What we can see from this is that the split is </w:t>
      </w:r>
      <w:proofErr w:type="gramStart"/>
      <w:r>
        <w:t>similar to</w:t>
      </w:r>
      <w:proofErr w:type="gramEnd"/>
      <w:r>
        <w:t xml:space="preserve"> that recorded in 2018, whilst in 2019 there was a far higher proportion of males engaging than females. Overall, we can see that well over half of all new engagements are males, this broadly reflects the gender split of the claimant count</w:t>
      </w:r>
      <w:r w:rsidR="00ED75E5">
        <w:t xml:space="preserve">- </w:t>
      </w:r>
      <w:r>
        <w:t>May 2020</w:t>
      </w:r>
      <w:r w:rsidR="00ED75E5">
        <w:t xml:space="preserve"> claimant count</w:t>
      </w:r>
      <w:r>
        <w:t xml:space="preserve"> indicated that 62% of claimants were male and 38% female. </w:t>
      </w:r>
      <w:r w:rsidR="007277DD">
        <w:t>Table 3 breaks down the new engagements in terms of broad age categories.</w:t>
      </w:r>
    </w:p>
    <w:p w14:paraId="4D999209" w14:textId="3B30673E" w:rsidR="00B2307E" w:rsidRPr="00842D3D" w:rsidRDefault="00B2307E" w:rsidP="00B2307E">
      <w:pPr>
        <w:pStyle w:val="Heading3"/>
      </w:pPr>
      <w:r>
        <w:t>Table 3 Age Profile of New Engagements Quarter 1 (April -June)</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76"/>
        <w:gridCol w:w="1417"/>
        <w:gridCol w:w="1134"/>
        <w:gridCol w:w="1276"/>
        <w:gridCol w:w="992"/>
        <w:gridCol w:w="1187"/>
      </w:tblGrid>
      <w:tr w:rsidR="00EC67D5" w:rsidRPr="000C0FFC" w14:paraId="6536FC7A" w14:textId="77777777" w:rsidTr="007277DD">
        <w:trPr>
          <w:trHeight w:val="290"/>
        </w:trPr>
        <w:tc>
          <w:tcPr>
            <w:tcW w:w="1838" w:type="dxa"/>
            <w:shd w:val="clear" w:color="auto" w:fill="auto"/>
            <w:noWrap/>
            <w:vAlign w:val="bottom"/>
            <w:hideMark/>
          </w:tcPr>
          <w:p w14:paraId="5D47DB2E" w14:textId="77777777" w:rsidR="00EC67D5" w:rsidRPr="000C0FFC" w:rsidRDefault="00EC67D5" w:rsidP="000C0FFC">
            <w:pPr>
              <w:spacing w:after="0" w:line="240" w:lineRule="auto"/>
              <w:rPr>
                <w:rFonts w:ascii="Times New Roman" w:eastAsia="Times New Roman" w:hAnsi="Times New Roman" w:cs="Times New Roman"/>
                <w:sz w:val="24"/>
                <w:szCs w:val="24"/>
                <w:lang w:eastAsia="en-GB"/>
              </w:rPr>
            </w:pPr>
          </w:p>
        </w:tc>
        <w:tc>
          <w:tcPr>
            <w:tcW w:w="2693" w:type="dxa"/>
            <w:gridSpan w:val="2"/>
            <w:shd w:val="clear" w:color="auto" w:fill="auto"/>
            <w:noWrap/>
            <w:vAlign w:val="bottom"/>
            <w:hideMark/>
          </w:tcPr>
          <w:p w14:paraId="10289A0D" w14:textId="614888DA" w:rsidR="00EC67D5" w:rsidRPr="000C0FFC" w:rsidRDefault="00EC67D5" w:rsidP="000C0FFC">
            <w:pPr>
              <w:spacing w:after="0" w:line="240" w:lineRule="auto"/>
              <w:jc w:val="right"/>
              <w:rPr>
                <w:rFonts w:ascii="Calibri" w:eastAsia="Times New Roman" w:hAnsi="Calibri" w:cs="Calibri"/>
                <w:color w:val="000000"/>
                <w:lang w:eastAsia="en-GB"/>
              </w:rPr>
            </w:pPr>
            <w:r w:rsidRPr="000C0FFC">
              <w:rPr>
                <w:rFonts w:ascii="Calibri" w:eastAsia="Times New Roman" w:hAnsi="Calibri" w:cs="Calibri"/>
                <w:color w:val="000000"/>
                <w:lang w:eastAsia="en-GB"/>
              </w:rPr>
              <w:t>2018</w:t>
            </w:r>
          </w:p>
        </w:tc>
        <w:tc>
          <w:tcPr>
            <w:tcW w:w="2410" w:type="dxa"/>
            <w:gridSpan w:val="2"/>
            <w:shd w:val="clear" w:color="auto" w:fill="auto"/>
            <w:noWrap/>
            <w:vAlign w:val="bottom"/>
            <w:hideMark/>
          </w:tcPr>
          <w:p w14:paraId="2C8F2356" w14:textId="62D8D837" w:rsidR="00EC67D5" w:rsidRPr="000C0FFC" w:rsidRDefault="00EC67D5" w:rsidP="000C0FFC">
            <w:pPr>
              <w:spacing w:after="0" w:line="240" w:lineRule="auto"/>
              <w:jc w:val="right"/>
              <w:rPr>
                <w:rFonts w:ascii="Calibri" w:eastAsia="Times New Roman" w:hAnsi="Calibri" w:cs="Calibri"/>
                <w:color w:val="000000"/>
                <w:lang w:eastAsia="en-GB"/>
              </w:rPr>
            </w:pPr>
            <w:r w:rsidRPr="000C0FFC">
              <w:rPr>
                <w:rFonts w:ascii="Calibri" w:eastAsia="Times New Roman" w:hAnsi="Calibri" w:cs="Calibri"/>
                <w:color w:val="000000"/>
                <w:lang w:eastAsia="en-GB"/>
              </w:rPr>
              <w:t>2019</w:t>
            </w:r>
          </w:p>
        </w:tc>
        <w:tc>
          <w:tcPr>
            <w:tcW w:w="2179" w:type="dxa"/>
            <w:gridSpan w:val="2"/>
            <w:shd w:val="clear" w:color="auto" w:fill="auto"/>
            <w:noWrap/>
            <w:vAlign w:val="bottom"/>
            <w:hideMark/>
          </w:tcPr>
          <w:p w14:paraId="0B7D6922" w14:textId="74B1E3AE" w:rsidR="00EC67D5" w:rsidRPr="000C0FFC" w:rsidRDefault="00EC67D5" w:rsidP="000C0FFC">
            <w:pPr>
              <w:spacing w:after="0" w:line="240" w:lineRule="auto"/>
              <w:jc w:val="right"/>
              <w:rPr>
                <w:rFonts w:ascii="Calibri" w:eastAsia="Times New Roman" w:hAnsi="Calibri" w:cs="Calibri"/>
                <w:color w:val="000000"/>
                <w:lang w:eastAsia="en-GB"/>
              </w:rPr>
            </w:pPr>
            <w:r w:rsidRPr="000C0FFC">
              <w:rPr>
                <w:rFonts w:ascii="Calibri" w:eastAsia="Times New Roman" w:hAnsi="Calibri" w:cs="Calibri"/>
                <w:color w:val="000000"/>
                <w:lang w:eastAsia="en-GB"/>
              </w:rPr>
              <w:t>2020</w:t>
            </w:r>
          </w:p>
        </w:tc>
      </w:tr>
      <w:tr w:rsidR="00EC67D5" w:rsidRPr="000C0FFC" w14:paraId="097102C4" w14:textId="77777777" w:rsidTr="001C03D8">
        <w:trPr>
          <w:trHeight w:hRule="exact" w:val="255"/>
        </w:trPr>
        <w:tc>
          <w:tcPr>
            <w:tcW w:w="1838" w:type="dxa"/>
            <w:shd w:val="clear" w:color="auto" w:fill="auto"/>
            <w:noWrap/>
            <w:vAlign w:val="bottom"/>
          </w:tcPr>
          <w:p w14:paraId="60E30586" w14:textId="286D0D44" w:rsidR="00EC67D5" w:rsidRPr="001C03D8" w:rsidRDefault="007277DD" w:rsidP="00EC67D5">
            <w:pPr>
              <w:spacing w:after="0" w:line="240" w:lineRule="auto"/>
              <w:rPr>
                <w:rFonts w:eastAsia="Times New Roman" w:cstheme="minorHAnsi"/>
                <w:lang w:eastAsia="en-GB"/>
              </w:rPr>
            </w:pPr>
            <w:r w:rsidRPr="001C03D8">
              <w:rPr>
                <w:rFonts w:eastAsia="Times New Roman" w:cstheme="minorHAnsi"/>
                <w:lang w:eastAsia="en-GB"/>
              </w:rPr>
              <w:t>Age</w:t>
            </w:r>
          </w:p>
        </w:tc>
        <w:tc>
          <w:tcPr>
            <w:tcW w:w="1276" w:type="dxa"/>
            <w:shd w:val="clear" w:color="auto" w:fill="auto"/>
            <w:noWrap/>
            <w:vAlign w:val="bottom"/>
          </w:tcPr>
          <w:p w14:paraId="0057C704" w14:textId="58E7B34C"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Count</w:t>
            </w:r>
          </w:p>
        </w:tc>
        <w:tc>
          <w:tcPr>
            <w:tcW w:w="1417" w:type="dxa"/>
            <w:shd w:val="clear" w:color="auto" w:fill="auto"/>
            <w:noWrap/>
            <w:vAlign w:val="bottom"/>
          </w:tcPr>
          <w:p w14:paraId="427A960E" w14:textId="159DBE95"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Proportion</w:t>
            </w:r>
          </w:p>
        </w:tc>
        <w:tc>
          <w:tcPr>
            <w:tcW w:w="1134" w:type="dxa"/>
            <w:shd w:val="clear" w:color="auto" w:fill="auto"/>
            <w:noWrap/>
            <w:vAlign w:val="bottom"/>
          </w:tcPr>
          <w:p w14:paraId="73DB7A5D" w14:textId="4D39AB58"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Count</w:t>
            </w:r>
          </w:p>
        </w:tc>
        <w:tc>
          <w:tcPr>
            <w:tcW w:w="1276" w:type="dxa"/>
            <w:shd w:val="clear" w:color="auto" w:fill="auto"/>
            <w:noWrap/>
            <w:vAlign w:val="bottom"/>
          </w:tcPr>
          <w:p w14:paraId="45F243DC" w14:textId="386F230A"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Proportion</w:t>
            </w:r>
          </w:p>
        </w:tc>
        <w:tc>
          <w:tcPr>
            <w:tcW w:w="992" w:type="dxa"/>
            <w:shd w:val="clear" w:color="auto" w:fill="auto"/>
            <w:noWrap/>
            <w:vAlign w:val="bottom"/>
          </w:tcPr>
          <w:p w14:paraId="7A223558" w14:textId="74CA5601"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Count</w:t>
            </w:r>
          </w:p>
        </w:tc>
        <w:tc>
          <w:tcPr>
            <w:tcW w:w="1187" w:type="dxa"/>
            <w:shd w:val="clear" w:color="auto" w:fill="auto"/>
            <w:noWrap/>
            <w:vAlign w:val="bottom"/>
          </w:tcPr>
          <w:p w14:paraId="0D657CCA" w14:textId="11526D7C" w:rsidR="00EC67D5" w:rsidRPr="001C03D8" w:rsidRDefault="00EC67D5" w:rsidP="00EC67D5">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Proportion</w:t>
            </w:r>
          </w:p>
        </w:tc>
      </w:tr>
      <w:tr w:rsidR="00EC67D5" w:rsidRPr="000C0FFC" w14:paraId="6BFAEFB7" w14:textId="77777777" w:rsidTr="001C03D8">
        <w:trPr>
          <w:trHeight w:hRule="exact" w:val="255"/>
        </w:trPr>
        <w:tc>
          <w:tcPr>
            <w:tcW w:w="1838" w:type="dxa"/>
            <w:shd w:val="clear" w:color="auto" w:fill="auto"/>
            <w:noWrap/>
            <w:vAlign w:val="bottom"/>
            <w:hideMark/>
          </w:tcPr>
          <w:p w14:paraId="0980C295"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under 20</w:t>
            </w:r>
          </w:p>
        </w:tc>
        <w:tc>
          <w:tcPr>
            <w:tcW w:w="1276" w:type="dxa"/>
            <w:shd w:val="clear" w:color="auto" w:fill="auto"/>
            <w:noWrap/>
            <w:vAlign w:val="bottom"/>
            <w:hideMark/>
          </w:tcPr>
          <w:p w14:paraId="2BB5794A"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254</w:t>
            </w:r>
          </w:p>
        </w:tc>
        <w:tc>
          <w:tcPr>
            <w:tcW w:w="1417" w:type="dxa"/>
            <w:shd w:val="clear" w:color="auto" w:fill="auto"/>
            <w:noWrap/>
            <w:vAlign w:val="bottom"/>
            <w:hideMark/>
          </w:tcPr>
          <w:p w14:paraId="6BFAD755"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25%</w:t>
            </w:r>
          </w:p>
        </w:tc>
        <w:tc>
          <w:tcPr>
            <w:tcW w:w="1134" w:type="dxa"/>
            <w:shd w:val="clear" w:color="auto" w:fill="auto"/>
            <w:noWrap/>
            <w:vAlign w:val="bottom"/>
            <w:hideMark/>
          </w:tcPr>
          <w:p w14:paraId="1123D4B6"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306</w:t>
            </w:r>
          </w:p>
        </w:tc>
        <w:tc>
          <w:tcPr>
            <w:tcW w:w="1276" w:type="dxa"/>
            <w:shd w:val="clear" w:color="auto" w:fill="auto"/>
            <w:noWrap/>
            <w:vAlign w:val="bottom"/>
            <w:hideMark/>
          </w:tcPr>
          <w:p w14:paraId="26A41546"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32%</w:t>
            </w:r>
          </w:p>
        </w:tc>
        <w:tc>
          <w:tcPr>
            <w:tcW w:w="992" w:type="dxa"/>
            <w:shd w:val="clear" w:color="auto" w:fill="auto"/>
            <w:noWrap/>
            <w:vAlign w:val="bottom"/>
            <w:hideMark/>
          </w:tcPr>
          <w:p w14:paraId="7FD0D905"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151</w:t>
            </w:r>
          </w:p>
        </w:tc>
        <w:tc>
          <w:tcPr>
            <w:tcW w:w="1187" w:type="dxa"/>
            <w:shd w:val="clear" w:color="auto" w:fill="auto"/>
            <w:noWrap/>
            <w:vAlign w:val="bottom"/>
            <w:hideMark/>
          </w:tcPr>
          <w:p w14:paraId="0A2296AC"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38%</w:t>
            </w:r>
          </w:p>
        </w:tc>
      </w:tr>
      <w:tr w:rsidR="00EC67D5" w:rsidRPr="000C0FFC" w14:paraId="750F3B89" w14:textId="77777777" w:rsidTr="001C03D8">
        <w:trPr>
          <w:trHeight w:hRule="exact" w:val="255"/>
        </w:trPr>
        <w:tc>
          <w:tcPr>
            <w:tcW w:w="1838" w:type="dxa"/>
            <w:shd w:val="clear" w:color="auto" w:fill="auto"/>
            <w:noWrap/>
            <w:vAlign w:val="bottom"/>
            <w:hideMark/>
          </w:tcPr>
          <w:p w14:paraId="14CB3845"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20-29</w:t>
            </w:r>
          </w:p>
        </w:tc>
        <w:tc>
          <w:tcPr>
            <w:tcW w:w="1276" w:type="dxa"/>
            <w:shd w:val="clear" w:color="auto" w:fill="auto"/>
            <w:noWrap/>
            <w:vAlign w:val="bottom"/>
            <w:hideMark/>
          </w:tcPr>
          <w:p w14:paraId="533A5B0C"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172</w:t>
            </w:r>
          </w:p>
        </w:tc>
        <w:tc>
          <w:tcPr>
            <w:tcW w:w="1417" w:type="dxa"/>
            <w:shd w:val="clear" w:color="auto" w:fill="auto"/>
            <w:noWrap/>
            <w:vAlign w:val="bottom"/>
            <w:hideMark/>
          </w:tcPr>
          <w:p w14:paraId="00C3CD1B"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17%</w:t>
            </w:r>
          </w:p>
        </w:tc>
        <w:tc>
          <w:tcPr>
            <w:tcW w:w="1134" w:type="dxa"/>
            <w:shd w:val="clear" w:color="auto" w:fill="auto"/>
            <w:noWrap/>
            <w:vAlign w:val="bottom"/>
            <w:hideMark/>
          </w:tcPr>
          <w:p w14:paraId="72A02DF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184</w:t>
            </w:r>
          </w:p>
        </w:tc>
        <w:tc>
          <w:tcPr>
            <w:tcW w:w="1276" w:type="dxa"/>
            <w:shd w:val="clear" w:color="auto" w:fill="auto"/>
            <w:noWrap/>
            <w:vAlign w:val="bottom"/>
            <w:hideMark/>
          </w:tcPr>
          <w:p w14:paraId="060F6C0B"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19%</w:t>
            </w:r>
          </w:p>
        </w:tc>
        <w:tc>
          <w:tcPr>
            <w:tcW w:w="992" w:type="dxa"/>
            <w:shd w:val="clear" w:color="auto" w:fill="auto"/>
            <w:noWrap/>
            <w:vAlign w:val="bottom"/>
            <w:hideMark/>
          </w:tcPr>
          <w:p w14:paraId="18B099D2"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96</w:t>
            </w:r>
          </w:p>
        </w:tc>
        <w:tc>
          <w:tcPr>
            <w:tcW w:w="1187" w:type="dxa"/>
            <w:shd w:val="clear" w:color="auto" w:fill="auto"/>
            <w:noWrap/>
            <w:vAlign w:val="bottom"/>
            <w:hideMark/>
          </w:tcPr>
          <w:p w14:paraId="4A09CD2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24%</w:t>
            </w:r>
          </w:p>
        </w:tc>
      </w:tr>
      <w:tr w:rsidR="00EC67D5" w:rsidRPr="000C0FFC" w14:paraId="31961F22" w14:textId="77777777" w:rsidTr="001C03D8">
        <w:trPr>
          <w:trHeight w:hRule="exact" w:val="255"/>
        </w:trPr>
        <w:tc>
          <w:tcPr>
            <w:tcW w:w="1838" w:type="dxa"/>
            <w:shd w:val="clear" w:color="auto" w:fill="auto"/>
            <w:noWrap/>
            <w:vAlign w:val="bottom"/>
            <w:hideMark/>
          </w:tcPr>
          <w:p w14:paraId="646BDAB9"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30-39</w:t>
            </w:r>
          </w:p>
        </w:tc>
        <w:tc>
          <w:tcPr>
            <w:tcW w:w="1276" w:type="dxa"/>
            <w:shd w:val="clear" w:color="auto" w:fill="auto"/>
            <w:noWrap/>
            <w:vAlign w:val="bottom"/>
            <w:hideMark/>
          </w:tcPr>
          <w:p w14:paraId="18B2D10A"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202</w:t>
            </w:r>
          </w:p>
        </w:tc>
        <w:tc>
          <w:tcPr>
            <w:tcW w:w="1417" w:type="dxa"/>
            <w:shd w:val="clear" w:color="auto" w:fill="auto"/>
            <w:noWrap/>
            <w:vAlign w:val="bottom"/>
            <w:hideMark/>
          </w:tcPr>
          <w:p w14:paraId="1F0A1A57"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20%</w:t>
            </w:r>
          </w:p>
        </w:tc>
        <w:tc>
          <w:tcPr>
            <w:tcW w:w="1134" w:type="dxa"/>
            <w:shd w:val="clear" w:color="auto" w:fill="auto"/>
            <w:noWrap/>
            <w:vAlign w:val="bottom"/>
            <w:hideMark/>
          </w:tcPr>
          <w:p w14:paraId="61A14DCD"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141</w:t>
            </w:r>
          </w:p>
        </w:tc>
        <w:tc>
          <w:tcPr>
            <w:tcW w:w="1276" w:type="dxa"/>
            <w:shd w:val="clear" w:color="auto" w:fill="auto"/>
            <w:noWrap/>
            <w:vAlign w:val="bottom"/>
            <w:hideMark/>
          </w:tcPr>
          <w:p w14:paraId="04329548"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w:t>
            </w:r>
          </w:p>
        </w:tc>
        <w:tc>
          <w:tcPr>
            <w:tcW w:w="992" w:type="dxa"/>
            <w:shd w:val="clear" w:color="auto" w:fill="auto"/>
            <w:noWrap/>
            <w:vAlign w:val="bottom"/>
            <w:hideMark/>
          </w:tcPr>
          <w:p w14:paraId="23959C89"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61</w:t>
            </w:r>
          </w:p>
        </w:tc>
        <w:tc>
          <w:tcPr>
            <w:tcW w:w="1187" w:type="dxa"/>
            <w:shd w:val="clear" w:color="auto" w:fill="auto"/>
            <w:noWrap/>
            <w:vAlign w:val="bottom"/>
            <w:hideMark/>
          </w:tcPr>
          <w:p w14:paraId="3DA30225"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w:t>
            </w:r>
          </w:p>
        </w:tc>
      </w:tr>
      <w:tr w:rsidR="00EC67D5" w:rsidRPr="000C0FFC" w14:paraId="3C6BF3B8" w14:textId="77777777" w:rsidTr="001C03D8">
        <w:trPr>
          <w:trHeight w:hRule="exact" w:val="255"/>
        </w:trPr>
        <w:tc>
          <w:tcPr>
            <w:tcW w:w="1838" w:type="dxa"/>
            <w:shd w:val="clear" w:color="auto" w:fill="auto"/>
            <w:noWrap/>
            <w:vAlign w:val="bottom"/>
            <w:hideMark/>
          </w:tcPr>
          <w:p w14:paraId="67351F16"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40-49</w:t>
            </w:r>
          </w:p>
        </w:tc>
        <w:tc>
          <w:tcPr>
            <w:tcW w:w="1276" w:type="dxa"/>
            <w:shd w:val="clear" w:color="auto" w:fill="auto"/>
            <w:noWrap/>
            <w:vAlign w:val="bottom"/>
            <w:hideMark/>
          </w:tcPr>
          <w:p w14:paraId="7BF6709F"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175</w:t>
            </w:r>
          </w:p>
        </w:tc>
        <w:tc>
          <w:tcPr>
            <w:tcW w:w="1417" w:type="dxa"/>
            <w:shd w:val="clear" w:color="auto" w:fill="auto"/>
            <w:noWrap/>
            <w:vAlign w:val="bottom"/>
            <w:hideMark/>
          </w:tcPr>
          <w:p w14:paraId="384B779A"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17%</w:t>
            </w:r>
          </w:p>
        </w:tc>
        <w:tc>
          <w:tcPr>
            <w:tcW w:w="1134" w:type="dxa"/>
            <w:shd w:val="clear" w:color="auto" w:fill="auto"/>
            <w:noWrap/>
            <w:vAlign w:val="bottom"/>
            <w:hideMark/>
          </w:tcPr>
          <w:p w14:paraId="423821E4"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129</w:t>
            </w:r>
          </w:p>
        </w:tc>
        <w:tc>
          <w:tcPr>
            <w:tcW w:w="1276" w:type="dxa"/>
            <w:shd w:val="clear" w:color="auto" w:fill="auto"/>
            <w:noWrap/>
            <w:vAlign w:val="bottom"/>
            <w:hideMark/>
          </w:tcPr>
          <w:p w14:paraId="7E790496"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13%</w:t>
            </w:r>
          </w:p>
        </w:tc>
        <w:tc>
          <w:tcPr>
            <w:tcW w:w="992" w:type="dxa"/>
            <w:shd w:val="clear" w:color="auto" w:fill="auto"/>
            <w:noWrap/>
            <w:vAlign w:val="bottom"/>
            <w:hideMark/>
          </w:tcPr>
          <w:p w14:paraId="03B1E9C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50</w:t>
            </w:r>
          </w:p>
        </w:tc>
        <w:tc>
          <w:tcPr>
            <w:tcW w:w="1187" w:type="dxa"/>
            <w:shd w:val="clear" w:color="auto" w:fill="auto"/>
            <w:noWrap/>
            <w:vAlign w:val="bottom"/>
            <w:hideMark/>
          </w:tcPr>
          <w:p w14:paraId="5B613CF2"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13%</w:t>
            </w:r>
          </w:p>
        </w:tc>
      </w:tr>
      <w:tr w:rsidR="00EC67D5" w:rsidRPr="000C0FFC" w14:paraId="49F21E59" w14:textId="77777777" w:rsidTr="001C03D8">
        <w:trPr>
          <w:trHeight w:hRule="exact" w:val="255"/>
        </w:trPr>
        <w:tc>
          <w:tcPr>
            <w:tcW w:w="1838" w:type="dxa"/>
            <w:shd w:val="clear" w:color="auto" w:fill="auto"/>
            <w:noWrap/>
            <w:vAlign w:val="bottom"/>
            <w:hideMark/>
          </w:tcPr>
          <w:p w14:paraId="1471B196"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50-59</w:t>
            </w:r>
          </w:p>
        </w:tc>
        <w:tc>
          <w:tcPr>
            <w:tcW w:w="1276" w:type="dxa"/>
            <w:shd w:val="clear" w:color="auto" w:fill="auto"/>
            <w:noWrap/>
            <w:vAlign w:val="bottom"/>
            <w:hideMark/>
          </w:tcPr>
          <w:p w14:paraId="68B695DD"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152</w:t>
            </w:r>
          </w:p>
        </w:tc>
        <w:tc>
          <w:tcPr>
            <w:tcW w:w="1417" w:type="dxa"/>
            <w:shd w:val="clear" w:color="auto" w:fill="auto"/>
            <w:noWrap/>
            <w:vAlign w:val="bottom"/>
            <w:hideMark/>
          </w:tcPr>
          <w:p w14:paraId="3FA03F57"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w:t>
            </w:r>
          </w:p>
        </w:tc>
        <w:tc>
          <w:tcPr>
            <w:tcW w:w="1134" w:type="dxa"/>
            <w:shd w:val="clear" w:color="auto" w:fill="auto"/>
            <w:noWrap/>
            <w:vAlign w:val="bottom"/>
            <w:hideMark/>
          </w:tcPr>
          <w:p w14:paraId="01AAB058"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153</w:t>
            </w:r>
          </w:p>
        </w:tc>
        <w:tc>
          <w:tcPr>
            <w:tcW w:w="1276" w:type="dxa"/>
            <w:shd w:val="clear" w:color="auto" w:fill="auto"/>
            <w:noWrap/>
            <w:vAlign w:val="bottom"/>
            <w:hideMark/>
          </w:tcPr>
          <w:p w14:paraId="0C3BDB3E"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16%</w:t>
            </w:r>
          </w:p>
        </w:tc>
        <w:tc>
          <w:tcPr>
            <w:tcW w:w="992" w:type="dxa"/>
            <w:shd w:val="clear" w:color="auto" w:fill="auto"/>
            <w:noWrap/>
            <w:vAlign w:val="bottom"/>
            <w:hideMark/>
          </w:tcPr>
          <w:p w14:paraId="6F5680A3"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25</w:t>
            </w:r>
          </w:p>
        </w:tc>
        <w:tc>
          <w:tcPr>
            <w:tcW w:w="1187" w:type="dxa"/>
            <w:shd w:val="clear" w:color="auto" w:fill="auto"/>
            <w:noWrap/>
            <w:vAlign w:val="bottom"/>
            <w:hideMark/>
          </w:tcPr>
          <w:p w14:paraId="6491D70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6%</w:t>
            </w:r>
          </w:p>
        </w:tc>
      </w:tr>
      <w:tr w:rsidR="00EC67D5" w:rsidRPr="000C0FFC" w14:paraId="769373A2" w14:textId="77777777" w:rsidTr="001C03D8">
        <w:trPr>
          <w:trHeight w:hRule="exact" w:val="255"/>
        </w:trPr>
        <w:tc>
          <w:tcPr>
            <w:tcW w:w="1838" w:type="dxa"/>
            <w:shd w:val="clear" w:color="auto" w:fill="auto"/>
            <w:noWrap/>
            <w:vAlign w:val="bottom"/>
            <w:hideMark/>
          </w:tcPr>
          <w:p w14:paraId="68832621" w14:textId="77777777" w:rsidR="000C0FFC" w:rsidRPr="001C03D8" w:rsidRDefault="000C0FFC" w:rsidP="000C0FFC">
            <w:pPr>
              <w:spacing w:after="0" w:line="240" w:lineRule="auto"/>
              <w:rPr>
                <w:rFonts w:eastAsia="Times New Roman" w:cstheme="minorHAnsi"/>
                <w:color w:val="000000"/>
                <w:lang w:eastAsia="en-GB"/>
              </w:rPr>
            </w:pPr>
            <w:r w:rsidRPr="001C03D8">
              <w:rPr>
                <w:rFonts w:eastAsia="Times New Roman" w:cstheme="minorHAnsi"/>
                <w:color w:val="000000"/>
                <w:lang w:eastAsia="en-GB"/>
              </w:rPr>
              <w:t>60 and over</w:t>
            </w:r>
          </w:p>
        </w:tc>
        <w:tc>
          <w:tcPr>
            <w:tcW w:w="1276" w:type="dxa"/>
            <w:shd w:val="clear" w:color="auto" w:fill="auto"/>
            <w:noWrap/>
            <w:vAlign w:val="bottom"/>
            <w:hideMark/>
          </w:tcPr>
          <w:p w14:paraId="0A5AAC1D"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72</w:t>
            </w:r>
          </w:p>
        </w:tc>
        <w:tc>
          <w:tcPr>
            <w:tcW w:w="1417" w:type="dxa"/>
            <w:shd w:val="clear" w:color="auto" w:fill="auto"/>
            <w:noWrap/>
            <w:vAlign w:val="bottom"/>
            <w:hideMark/>
          </w:tcPr>
          <w:p w14:paraId="53898C22"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7%</w:t>
            </w:r>
          </w:p>
        </w:tc>
        <w:tc>
          <w:tcPr>
            <w:tcW w:w="1134" w:type="dxa"/>
            <w:shd w:val="clear" w:color="auto" w:fill="auto"/>
            <w:noWrap/>
            <w:vAlign w:val="bottom"/>
            <w:hideMark/>
          </w:tcPr>
          <w:p w14:paraId="5ED1C5A6"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46</w:t>
            </w:r>
          </w:p>
        </w:tc>
        <w:tc>
          <w:tcPr>
            <w:tcW w:w="1276" w:type="dxa"/>
            <w:shd w:val="clear" w:color="auto" w:fill="auto"/>
            <w:noWrap/>
            <w:vAlign w:val="bottom"/>
            <w:hideMark/>
          </w:tcPr>
          <w:p w14:paraId="30984E38"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5%</w:t>
            </w:r>
          </w:p>
        </w:tc>
        <w:tc>
          <w:tcPr>
            <w:tcW w:w="992" w:type="dxa"/>
            <w:shd w:val="clear" w:color="auto" w:fill="auto"/>
            <w:noWrap/>
            <w:vAlign w:val="bottom"/>
            <w:hideMark/>
          </w:tcPr>
          <w:p w14:paraId="5DFD76CF"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11</w:t>
            </w:r>
          </w:p>
        </w:tc>
        <w:tc>
          <w:tcPr>
            <w:tcW w:w="1187" w:type="dxa"/>
            <w:shd w:val="clear" w:color="auto" w:fill="auto"/>
            <w:noWrap/>
            <w:vAlign w:val="bottom"/>
            <w:hideMark/>
          </w:tcPr>
          <w:p w14:paraId="5FC3D37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3%</w:t>
            </w:r>
          </w:p>
        </w:tc>
      </w:tr>
      <w:tr w:rsidR="00EC67D5" w:rsidRPr="000C0FFC" w14:paraId="2B984494" w14:textId="77777777" w:rsidTr="001C03D8">
        <w:trPr>
          <w:trHeight w:hRule="exact" w:val="255"/>
        </w:trPr>
        <w:tc>
          <w:tcPr>
            <w:tcW w:w="1838" w:type="dxa"/>
            <w:shd w:val="clear" w:color="auto" w:fill="auto"/>
            <w:noWrap/>
            <w:vAlign w:val="bottom"/>
            <w:hideMark/>
          </w:tcPr>
          <w:p w14:paraId="11C80909" w14:textId="77777777" w:rsidR="000C0FFC" w:rsidRPr="001C03D8" w:rsidRDefault="000C0FFC" w:rsidP="000C0FFC">
            <w:pPr>
              <w:spacing w:after="0" w:line="240" w:lineRule="auto"/>
              <w:jc w:val="right"/>
              <w:rPr>
                <w:rFonts w:eastAsia="Times New Roman" w:cstheme="minorHAnsi"/>
                <w:color w:val="000000"/>
                <w:lang w:eastAsia="en-GB"/>
              </w:rPr>
            </w:pPr>
          </w:p>
        </w:tc>
        <w:tc>
          <w:tcPr>
            <w:tcW w:w="1276" w:type="dxa"/>
            <w:shd w:val="clear" w:color="auto" w:fill="auto"/>
            <w:noWrap/>
            <w:vAlign w:val="bottom"/>
            <w:hideMark/>
          </w:tcPr>
          <w:p w14:paraId="420F696C"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1027</w:t>
            </w:r>
          </w:p>
        </w:tc>
        <w:tc>
          <w:tcPr>
            <w:tcW w:w="1417" w:type="dxa"/>
            <w:shd w:val="clear" w:color="auto" w:fill="auto"/>
            <w:noWrap/>
            <w:vAlign w:val="bottom"/>
            <w:hideMark/>
          </w:tcPr>
          <w:p w14:paraId="644C3531"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w:t>
            </w:r>
          </w:p>
        </w:tc>
        <w:tc>
          <w:tcPr>
            <w:tcW w:w="1134" w:type="dxa"/>
            <w:shd w:val="clear" w:color="auto" w:fill="auto"/>
            <w:noWrap/>
            <w:vAlign w:val="bottom"/>
            <w:hideMark/>
          </w:tcPr>
          <w:p w14:paraId="5AA17449"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959</w:t>
            </w:r>
          </w:p>
        </w:tc>
        <w:tc>
          <w:tcPr>
            <w:tcW w:w="1276" w:type="dxa"/>
            <w:shd w:val="clear" w:color="auto" w:fill="auto"/>
            <w:noWrap/>
            <w:vAlign w:val="bottom"/>
            <w:hideMark/>
          </w:tcPr>
          <w:p w14:paraId="7EF70C67"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w:t>
            </w:r>
          </w:p>
        </w:tc>
        <w:tc>
          <w:tcPr>
            <w:tcW w:w="992" w:type="dxa"/>
            <w:shd w:val="clear" w:color="auto" w:fill="auto"/>
            <w:noWrap/>
            <w:vAlign w:val="bottom"/>
            <w:hideMark/>
          </w:tcPr>
          <w:p w14:paraId="66A3BD3B"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394</w:t>
            </w:r>
          </w:p>
        </w:tc>
        <w:tc>
          <w:tcPr>
            <w:tcW w:w="1187" w:type="dxa"/>
            <w:shd w:val="clear" w:color="auto" w:fill="auto"/>
            <w:noWrap/>
            <w:vAlign w:val="bottom"/>
            <w:hideMark/>
          </w:tcPr>
          <w:p w14:paraId="329F7D57" w14:textId="77777777" w:rsidR="000C0FFC" w:rsidRPr="001C03D8" w:rsidRDefault="000C0FFC" w:rsidP="000C0FFC">
            <w:pPr>
              <w:spacing w:after="0" w:line="240" w:lineRule="auto"/>
              <w:jc w:val="right"/>
              <w:rPr>
                <w:rFonts w:eastAsia="Times New Roman" w:cstheme="minorHAnsi"/>
                <w:color w:val="000000"/>
                <w:lang w:eastAsia="en-GB"/>
              </w:rPr>
            </w:pPr>
            <w:r w:rsidRPr="001C03D8">
              <w:rPr>
                <w:rFonts w:eastAsia="Times New Roman" w:cstheme="minorHAnsi"/>
                <w:color w:val="000000"/>
                <w:lang w:eastAsia="en-GB"/>
              </w:rPr>
              <w:t>100%</w:t>
            </w:r>
          </w:p>
        </w:tc>
      </w:tr>
    </w:tbl>
    <w:p w14:paraId="2DF61B99" w14:textId="77777777" w:rsidR="007277DD" w:rsidRDefault="007277DD" w:rsidP="007277DD">
      <w:r>
        <w:t>Source: Caselink</w:t>
      </w:r>
    </w:p>
    <w:p w14:paraId="4BD70CDC" w14:textId="2ED5CC8E" w:rsidR="0072683D" w:rsidRDefault="00560BB5">
      <w:bookmarkStart w:id="1" w:name="_Hlk48026355"/>
      <w:r>
        <w:t xml:space="preserve">In 2018 25% of new starts were under 20 years of age and </w:t>
      </w:r>
      <w:r w:rsidR="00820544">
        <w:t xml:space="preserve">17% were 20-29. In 2020 this had changed so that 38% were under the age of </w:t>
      </w:r>
      <w:r w:rsidR="00D31185">
        <w:t xml:space="preserve">20 and 24% were 20-29. </w:t>
      </w:r>
      <w:bookmarkEnd w:id="1"/>
      <w:r w:rsidR="00D31185">
        <w:t xml:space="preserve">This </w:t>
      </w:r>
      <w:r w:rsidR="009D33EC">
        <w:t>could indicate that</w:t>
      </w:r>
      <w:r w:rsidR="00E47402">
        <w:t xml:space="preserve"> demand is high amongst the younger age group, reflecting the worry that </w:t>
      </w:r>
      <w:r w:rsidR="000742F2">
        <w:t>young people will be most adversely affected by the economic consequences of the lock down. Alternatively</w:t>
      </w:r>
      <w:r w:rsidR="00E92D11">
        <w:t>,</w:t>
      </w:r>
      <w:r w:rsidR="000742F2">
        <w:t xml:space="preserve"> it could be that projects that work with younger people are better able to facilitate an engagement due to </w:t>
      </w:r>
      <w:r w:rsidR="002166A6">
        <w:t>connections with schools for example.</w:t>
      </w:r>
    </w:p>
    <w:p w14:paraId="1FEA0439" w14:textId="15A28741" w:rsidR="00341B7E" w:rsidRDefault="00341B7E">
      <w:bookmarkStart w:id="2" w:name="_Hlk48026077"/>
      <w:r>
        <w:t xml:space="preserve">In terms of the initial pipeline stage of these new engagements one would anticipate that </w:t>
      </w:r>
      <w:r w:rsidR="00C85343">
        <w:t>there would be an increased number of new starts from pipeline stages 4 and 5, if the services are being used more</w:t>
      </w:r>
      <w:r w:rsidR="00E0677C">
        <w:t xml:space="preserve"> by individuals who had been in work prior to the lock down. Table </w:t>
      </w:r>
      <w:r w:rsidR="0020787F">
        <w:t xml:space="preserve">4 </w:t>
      </w:r>
      <w:r w:rsidR="00C30A12">
        <w:t>indicates that this is the case</w:t>
      </w:r>
      <w:r w:rsidR="00E069CC">
        <w:t xml:space="preserve">. In 2018 12% of new engagements were at pipeline stage 4, in 2019 </w:t>
      </w:r>
      <w:r w:rsidR="007E61F8">
        <w:t>it was 24% and in 2020 it was 29%.</w:t>
      </w:r>
      <w:bookmarkEnd w:id="2"/>
      <w:r w:rsidR="007E61F8">
        <w:t xml:space="preserve"> If employment opportunities arise </w:t>
      </w:r>
      <w:r w:rsidR="00F65D65">
        <w:t xml:space="preserve">it should be easier to find jobs for those that are at stage 4 than for those who have been assessed </w:t>
      </w:r>
      <w:r w:rsidR="008F1625">
        <w:t xml:space="preserve">as being </w:t>
      </w:r>
      <w:r w:rsidR="00F65D65">
        <w:t>at</w:t>
      </w:r>
      <w:r w:rsidR="000D4CDA">
        <w:t xml:space="preserve"> an earlier stage of the employability pipeline. </w:t>
      </w:r>
    </w:p>
    <w:p w14:paraId="172B7BDE" w14:textId="77777777" w:rsidR="007F5E81" w:rsidRDefault="007F5E81"/>
    <w:p w14:paraId="13469D27" w14:textId="74DF4565" w:rsidR="00EE1C50" w:rsidRPr="00842D3D" w:rsidRDefault="00EE1C50" w:rsidP="00EE1C50">
      <w:pPr>
        <w:pStyle w:val="Heading3"/>
      </w:pPr>
      <w:r>
        <w:t>Table 3 Initial Pipeline Stage of New Engagements Quarter 1 (April -June)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1276"/>
        <w:gridCol w:w="992"/>
        <w:gridCol w:w="1276"/>
        <w:gridCol w:w="992"/>
        <w:gridCol w:w="1276"/>
      </w:tblGrid>
      <w:tr w:rsidR="00066E94" w:rsidRPr="00066E94" w14:paraId="16E9995B" w14:textId="77777777" w:rsidTr="00066E94">
        <w:trPr>
          <w:trHeight w:val="290"/>
        </w:trPr>
        <w:tc>
          <w:tcPr>
            <w:tcW w:w="2122" w:type="dxa"/>
            <w:shd w:val="clear" w:color="auto" w:fill="auto"/>
            <w:noWrap/>
            <w:vAlign w:val="bottom"/>
            <w:hideMark/>
          </w:tcPr>
          <w:p w14:paraId="5D600E78" w14:textId="77777777" w:rsidR="00066E94" w:rsidRPr="00066E94" w:rsidRDefault="00066E94" w:rsidP="00066E94">
            <w:pPr>
              <w:spacing w:after="0" w:line="240" w:lineRule="auto"/>
              <w:rPr>
                <w:rFonts w:ascii="Times New Roman" w:eastAsia="Times New Roman" w:hAnsi="Times New Roman" w:cs="Times New Roman"/>
                <w:sz w:val="24"/>
                <w:szCs w:val="24"/>
                <w:lang w:eastAsia="en-GB"/>
              </w:rPr>
            </w:pPr>
          </w:p>
        </w:tc>
        <w:tc>
          <w:tcPr>
            <w:tcW w:w="2268" w:type="dxa"/>
            <w:gridSpan w:val="2"/>
            <w:shd w:val="clear" w:color="auto" w:fill="auto"/>
            <w:noWrap/>
            <w:vAlign w:val="bottom"/>
            <w:hideMark/>
          </w:tcPr>
          <w:p w14:paraId="35EF1027" w14:textId="04769755"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2018</w:t>
            </w:r>
          </w:p>
        </w:tc>
        <w:tc>
          <w:tcPr>
            <w:tcW w:w="2268" w:type="dxa"/>
            <w:gridSpan w:val="2"/>
            <w:shd w:val="clear" w:color="auto" w:fill="auto"/>
            <w:noWrap/>
            <w:vAlign w:val="bottom"/>
            <w:hideMark/>
          </w:tcPr>
          <w:p w14:paraId="7C9F713A" w14:textId="0E86440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2019</w:t>
            </w:r>
          </w:p>
        </w:tc>
        <w:tc>
          <w:tcPr>
            <w:tcW w:w="2268" w:type="dxa"/>
            <w:gridSpan w:val="2"/>
            <w:shd w:val="clear" w:color="auto" w:fill="auto"/>
            <w:noWrap/>
            <w:vAlign w:val="bottom"/>
            <w:hideMark/>
          </w:tcPr>
          <w:p w14:paraId="06A22EC9" w14:textId="40A676E8"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2020</w:t>
            </w:r>
          </w:p>
        </w:tc>
      </w:tr>
      <w:tr w:rsidR="00066E94" w:rsidRPr="00066E94" w14:paraId="669A91B6" w14:textId="77777777" w:rsidTr="00066E94">
        <w:trPr>
          <w:trHeight w:val="290"/>
        </w:trPr>
        <w:tc>
          <w:tcPr>
            <w:tcW w:w="2122" w:type="dxa"/>
            <w:shd w:val="clear" w:color="auto" w:fill="auto"/>
            <w:noWrap/>
            <w:vAlign w:val="bottom"/>
          </w:tcPr>
          <w:p w14:paraId="1B0883F8" w14:textId="77777777" w:rsidR="00066E94" w:rsidRPr="00066E94" w:rsidRDefault="00066E94" w:rsidP="00066E94">
            <w:pPr>
              <w:spacing w:after="0" w:line="240" w:lineRule="auto"/>
              <w:rPr>
                <w:rFonts w:ascii="Times New Roman" w:eastAsia="Times New Roman" w:hAnsi="Times New Roman" w:cs="Times New Roman"/>
                <w:sz w:val="24"/>
                <w:szCs w:val="24"/>
                <w:lang w:eastAsia="en-GB"/>
              </w:rPr>
            </w:pPr>
          </w:p>
        </w:tc>
        <w:tc>
          <w:tcPr>
            <w:tcW w:w="992" w:type="dxa"/>
            <w:shd w:val="clear" w:color="auto" w:fill="auto"/>
            <w:noWrap/>
            <w:vAlign w:val="bottom"/>
          </w:tcPr>
          <w:p w14:paraId="30BB734C" w14:textId="0A1F5747"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Count</w:t>
            </w:r>
          </w:p>
        </w:tc>
        <w:tc>
          <w:tcPr>
            <w:tcW w:w="1276" w:type="dxa"/>
            <w:shd w:val="clear" w:color="auto" w:fill="auto"/>
            <w:noWrap/>
            <w:vAlign w:val="bottom"/>
          </w:tcPr>
          <w:p w14:paraId="2242F8E9" w14:textId="03503292"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Proportion</w:t>
            </w:r>
          </w:p>
        </w:tc>
        <w:tc>
          <w:tcPr>
            <w:tcW w:w="992" w:type="dxa"/>
            <w:shd w:val="clear" w:color="auto" w:fill="auto"/>
            <w:noWrap/>
            <w:vAlign w:val="bottom"/>
          </w:tcPr>
          <w:p w14:paraId="7E53D55D" w14:textId="3FD2AF5F"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Count</w:t>
            </w:r>
          </w:p>
        </w:tc>
        <w:tc>
          <w:tcPr>
            <w:tcW w:w="1276" w:type="dxa"/>
            <w:shd w:val="clear" w:color="auto" w:fill="auto"/>
            <w:noWrap/>
            <w:vAlign w:val="bottom"/>
          </w:tcPr>
          <w:p w14:paraId="712D3F01" w14:textId="109EA6F5"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Proportion</w:t>
            </w:r>
          </w:p>
        </w:tc>
        <w:tc>
          <w:tcPr>
            <w:tcW w:w="992" w:type="dxa"/>
            <w:shd w:val="clear" w:color="auto" w:fill="auto"/>
            <w:noWrap/>
            <w:vAlign w:val="bottom"/>
          </w:tcPr>
          <w:p w14:paraId="6FD6EAB1" w14:textId="572E08EA"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Count</w:t>
            </w:r>
          </w:p>
        </w:tc>
        <w:tc>
          <w:tcPr>
            <w:tcW w:w="1276" w:type="dxa"/>
            <w:shd w:val="clear" w:color="auto" w:fill="auto"/>
            <w:noWrap/>
            <w:vAlign w:val="bottom"/>
          </w:tcPr>
          <w:p w14:paraId="22F686B5" w14:textId="1C18CD61" w:rsidR="00066E94" w:rsidRPr="00066E94" w:rsidRDefault="00066E94" w:rsidP="00066E94">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Proportion</w:t>
            </w:r>
          </w:p>
        </w:tc>
      </w:tr>
      <w:tr w:rsidR="00066E94" w:rsidRPr="00066E94" w14:paraId="2782942D" w14:textId="77777777" w:rsidTr="00066E94">
        <w:trPr>
          <w:trHeight w:val="290"/>
        </w:trPr>
        <w:tc>
          <w:tcPr>
            <w:tcW w:w="2122" w:type="dxa"/>
            <w:shd w:val="clear" w:color="auto" w:fill="auto"/>
            <w:noWrap/>
            <w:vAlign w:val="bottom"/>
            <w:hideMark/>
          </w:tcPr>
          <w:p w14:paraId="1AAD04B6"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Pipeline Stage 1</w:t>
            </w:r>
          </w:p>
        </w:tc>
        <w:tc>
          <w:tcPr>
            <w:tcW w:w="992" w:type="dxa"/>
            <w:shd w:val="clear" w:color="auto" w:fill="auto"/>
            <w:noWrap/>
            <w:vAlign w:val="bottom"/>
            <w:hideMark/>
          </w:tcPr>
          <w:p w14:paraId="7A9A8CFC"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101</w:t>
            </w:r>
          </w:p>
        </w:tc>
        <w:tc>
          <w:tcPr>
            <w:tcW w:w="1276" w:type="dxa"/>
            <w:shd w:val="clear" w:color="auto" w:fill="auto"/>
            <w:noWrap/>
            <w:vAlign w:val="bottom"/>
            <w:hideMark/>
          </w:tcPr>
          <w:p w14:paraId="161F9BB5"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10%</w:t>
            </w:r>
          </w:p>
        </w:tc>
        <w:tc>
          <w:tcPr>
            <w:tcW w:w="992" w:type="dxa"/>
            <w:shd w:val="clear" w:color="auto" w:fill="auto"/>
            <w:noWrap/>
            <w:vAlign w:val="bottom"/>
            <w:hideMark/>
          </w:tcPr>
          <w:p w14:paraId="55A5217B"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125</w:t>
            </w:r>
          </w:p>
        </w:tc>
        <w:tc>
          <w:tcPr>
            <w:tcW w:w="1276" w:type="dxa"/>
            <w:shd w:val="clear" w:color="auto" w:fill="auto"/>
            <w:noWrap/>
            <w:vAlign w:val="bottom"/>
            <w:hideMark/>
          </w:tcPr>
          <w:p w14:paraId="3B024466"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13%</w:t>
            </w:r>
          </w:p>
        </w:tc>
        <w:tc>
          <w:tcPr>
            <w:tcW w:w="992" w:type="dxa"/>
            <w:shd w:val="clear" w:color="auto" w:fill="auto"/>
            <w:noWrap/>
            <w:vAlign w:val="bottom"/>
            <w:hideMark/>
          </w:tcPr>
          <w:p w14:paraId="6106D94A"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89</w:t>
            </w:r>
          </w:p>
        </w:tc>
        <w:tc>
          <w:tcPr>
            <w:tcW w:w="1276" w:type="dxa"/>
            <w:shd w:val="clear" w:color="auto" w:fill="auto"/>
            <w:noWrap/>
            <w:vAlign w:val="bottom"/>
            <w:hideMark/>
          </w:tcPr>
          <w:p w14:paraId="5ECADCB9"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23%</w:t>
            </w:r>
          </w:p>
        </w:tc>
      </w:tr>
      <w:tr w:rsidR="00066E94" w:rsidRPr="00066E94" w14:paraId="5B1C3E29" w14:textId="77777777" w:rsidTr="00066E94">
        <w:trPr>
          <w:trHeight w:val="290"/>
        </w:trPr>
        <w:tc>
          <w:tcPr>
            <w:tcW w:w="2122" w:type="dxa"/>
            <w:shd w:val="clear" w:color="auto" w:fill="auto"/>
            <w:noWrap/>
            <w:vAlign w:val="bottom"/>
            <w:hideMark/>
          </w:tcPr>
          <w:p w14:paraId="577B5C8F"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Pipeline Stage 2</w:t>
            </w:r>
          </w:p>
        </w:tc>
        <w:tc>
          <w:tcPr>
            <w:tcW w:w="992" w:type="dxa"/>
            <w:shd w:val="clear" w:color="auto" w:fill="auto"/>
            <w:noWrap/>
            <w:vAlign w:val="bottom"/>
            <w:hideMark/>
          </w:tcPr>
          <w:p w14:paraId="329ACE77"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295</w:t>
            </w:r>
          </w:p>
        </w:tc>
        <w:tc>
          <w:tcPr>
            <w:tcW w:w="1276" w:type="dxa"/>
            <w:shd w:val="clear" w:color="auto" w:fill="auto"/>
            <w:noWrap/>
            <w:vAlign w:val="bottom"/>
            <w:hideMark/>
          </w:tcPr>
          <w:p w14:paraId="77EF7003"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29%</w:t>
            </w:r>
          </w:p>
        </w:tc>
        <w:tc>
          <w:tcPr>
            <w:tcW w:w="992" w:type="dxa"/>
            <w:shd w:val="clear" w:color="auto" w:fill="auto"/>
            <w:noWrap/>
            <w:vAlign w:val="bottom"/>
            <w:hideMark/>
          </w:tcPr>
          <w:p w14:paraId="37A9198D"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164</w:t>
            </w:r>
          </w:p>
        </w:tc>
        <w:tc>
          <w:tcPr>
            <w:tcW w:w="1276" w:type="dxa"/>
            <w:shd w:val="clear" w:color="auto" w:fill="auto"/>
            <w:noWrap/>
            <w:vAlign w:val="bottom"/>
            <w:hideMark/>
          </w:tcPr>
          <w:p w14:paraId="6D4616CE"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17%</w:t>
            </w:r>
          </w:p>
        </w:tc>
        <w:tc>
          <w:tcPr>
            <w:tcW w:w="992" w:type="dxa"/>
            <w:shd w:val="clear" w:color="auto" w:fill="auto"/>
            <w:noWrap/>
            <w:vAlign w:val="bottom"/>
            <w:hideMark/>
          </w:tcPr>
          <w:p w14:paraId="34E5BBD9"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84</w:t>
            </w:r>
          </w:p>
        </w:tc>
        <w:tc>
          <w:tcPr>
            <w:tcW w:w="1276" w:type="dxa"/>
            <w:shd w:val="clear" w:color="auto" w:fill="auto"/>
            <w:noWrap/>
            <w:vAlign w:val="bottom"/>
            <w:hideMark/>
          </w:tcPr>
          <w:p w14:paraId="6C643398"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21%</w:t>
            </w:r>
          </w:p>
        </w:tc>
      </w:tr>
      <w:tr w:rsidR="00066E94" w:rsidRPr="00066E94" w14:paraId="52362FF4" w14:textId="77777777" w:rsidTr="00066E94">
        <w:trPr>
          <w:trHeight w:val="290"/>
        </w:trPr>
        <w:tc>
          <w:tcPr>
            <w:tcW w:w="2122" w:type="dxa"/>
            <w:shd w:val="clear" w:color="auto" w:fill="auto"/>
            <w:noWrap/>
            <w:vAlign w:val="bottom"/>
            <w:hideMark/>
          </w:tcPr>
          <w:p w14:paraId="6589931E"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Pipeline Stage 3</w:t>
            </w:r>
          </w:p>
        </w:tc>
        <w:tc>
          <w:tcPr>
            <w:tcW w:w="992" w:type="dxa"/>
            <w:shd w:val="clear" w:color="auto" w:fill="auto"/>
            <w:noWrap/>
            <w:vAlign w:val="bottom"/>
            <w:hideMark/>
          </w:tcPr>
          <w:p w14:paraId="69DDD923"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298</w:t>
            </w:r>
          </w:p>
        </w:tc>
        <w:tc>
          <w:tcPr>
            <w:tcW w:w="1276" w:type="dxa"/>
            <w:shd w:val="clear" w:color="auto" w:fill="auto"/>
            <w:noWrap/>
            <w:vAlign w:val="bottom"/>
            <w:hideMark/>
          </w:tcPr>
          <w:p w14:paraId="7EDFFB7D"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29%</w:t>
            </w:r>
          </w:p>
        </w:tc>
        <w:tc>
          <w:tcPr>
            <w:tcW w:w="992" w:type="dxa"/>
            <w:shd w:val="clear" w:color="auto" w:fill="auto"/>
            <w:noWrap/>
            <w:vAlign w:val="bottom"/>
            <w:hideMark/>
          </w:tcPr>
          <w:p w14:paraId="71BFDA33"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214</w:t>
            </w:r>
          </w:p>
        </w:tc>
        <w:tc>
          <w:tcPr>
            <w:tcW w:w="1276" w:type="dxa"/>
            <w:shd w:val="clear" w:color="auto" w:fill="auto"/>
            <w:noWrap/>
            <w:vAlign w:val="bottom"/>
            <w:hideMark/>
          </w:tcPr>
          <w:p w14:paraId="6822D707"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22%</w:t>
            </w:r>
          </w:p>
        </w:tc>
        <w:tc>
          <w:tcPr>
            <w:tcW w:w="992" w:type="dxa"/>
            <w:shd w:val="clear" w:color="auto" w:fill="auto"/>
            <w:noWrap/>
            <w:vAlign w:val="bottom"/>
            <w:hideMark/>
          </w:tcPr>
          <w:p w14:paraId="1BA0152A"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48</w:t>
            </w:r>
          </w:p>
        </w:tc>
        <w:tc>
          <w:tcPr>
            <w:tcW w:w="1276" w:type="dxa"/>
            <w:shd w:val="clear" w:color="auto" w:fill="auto"/>
            <w:noWrap/>
            <w:vAlign w:val="bottom"/>
            <w:hideMark/>
          </w:tcPr>
          <w:p w14:paraId="6758BC21"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12%</w:t>
            </w:r>
          </w:p>
        </w:tc>
      </w:tr>
      <w:tr w:rsidR="00066E94" w:rsidRPr="00066E94" w14:paraId="7045AA97" w14:textId="77777777" w:rsidTr="00066E94">
        <w:trPr>
          <w:trHeight w:val="290"/>
        </w:trPr>
        <w:tc>
          <w:tcPr>
            <w:tcW w:w="2122" w:type="dxa"/>
            <w:shd w:val="clear" w:color="auto" w:fill="auto"/>
            <w:noWrap/>
            <w:vAlign w:val="bottom"/>
            <w:hideMark/>
          </w:tcPr>
          <w:p w14:paraId="03DA880C"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Pipeline Stage 4</w:t>
            </w:r>
          </w:p>
        </w:tc>
        <w:tc>
          <w:tcPr>
            <w:tcW w:w="992" w:type="dxa"/>
            <w:shd w:val="clear" w:color="auto" w:fill="auto"/>
            <w:noWrap/>
            <w:vAlign w:val="bottom"/>
            <w:hideMark/>
          </w:tcPr>
          <w:p w14:paraId="71A1F71E"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124</w:t>
            </w:r>
          </w:p>
        </w:tc>
        <w:tc>
          <w:tcPr>
            <w:tcW w:w="1276" w:type="dxa"/>
            <w:shd w:val="clear" w:color="auto" w:fill="auto"/>
            <w:noWrap/>
            <w:vAlign w:val="bottom"/>
            <w:hideMark/>
          </w:tcPr>
          <w:p w14:paraId="6D923407"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12%</w:t>
            </w:r>
          </w:p>
        </w:tc>
        <w:tc>
          <w:tcPr>
            <w:tcW w:w="992" w:type="dxa"/>
            <w:shd w:val="clear" w:color="auto" w:fill="auto"/>
            <w:noWrap/>
            <w:vAlign w:val="bottom"/>
            <w:hideMark/>
          </w:tcPr>
          <w:p w14:paraId="1CE2F3BF"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229</w:t>
            </w:r>
          </w:p>
        </w:tc>
        <w:tc>
          <w:tcPr>
            <w:tcW w:w="1276" w:type="dxa"/>
            <w:shd w:val="clear" w:color="auto" w:fill="auto"/>
            <w:noWrap/>
            <w:vAlign w:val="bottom"/>
            <w:hideMark/>
          </w:tcPr>
          <w:p w14:paraId="49AD9BF6"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24%</w:t>
            </w:r>
          </w:p>
        </w:tc>
        <w:tc>
          <w:tcPr>
            <w:tcW w:w="992" w:type="dxa"/>
            <w:shd w:val="clear" w:color="auto" w:fill="auto"/>
            <w:noWrap/>
            <w:vAlign w:val="bottom"/>
            <w:hideMark/>
          </w:tcPr>
          <w:p w14:paraId="24450156"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113</w:t>
            </w:r>
          </w:p>
        </w:tc>
        <w:tc>
          <w:tcPr>
            <w:tcW w:w="1276" w:type="dxa"/>
            <w:shd w:val="clear" w:color="auto" w:fill="auto"/>
            <w:noWrap/>
            <w:vAlign w:val="bottom"/>
            <w:hideMark/>
          </w:tcPr>
          <w:p w14:paraId="06511956"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29%</w:t>
            </w:r>
          </w:p>
        </w:tc>
      </w:tr>
      <w:tr w:rsidR="00066E94" w:rsidRPr="00066E94" w14:paraId="4CED066C" w14:textId="77777777" w:rsidTr="00066E94">
        <w:trPr>
          <w:trHeight w:val="290"/>
        </w:trPr>
        <w:tc>
          <w:tcPr>
            <w:tcW w:w="2122" w:type="dxa"/>
            <w:shd w:val="clear" w:color="auto" w:fill="auto"/>
            <w:noWrap/>
            <w:vAlign w:val="bottom"/>
            <w:hideMark/>
          </w:tcPr>
          <w:p w14:paraId="3BAE6575"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Pipeline Stage 5</w:t>
            </w:r>
          </w:p>
        </w:tc>
        <w:tc>
          <w:tcPr>
            <w:tcW w:w="992" w:type="dxa"/>
            <w:shd w:val="clear" w:color="auto" w:fill="auto"/>
            <w:noWrap/>
            <w:vAlign w:val="bottom"/>
            <w:hideMark/>
          </w:tcPr>
          <w:p w14:paraId="2C77040F"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200</w:t>
            </w:r>
          </w:p>
        </w:tc>
        <w:tc>
          <w:tcPr>
            <w:tcW w:w="1276" w:type="dxa"/>
            <w:shd w:val="clear" w:color="auto" w:fill="auto"/>
            <w:noWrap/>
            <w:vAlign w:val="bottom"/>
            <w:hideMark/>
          </w:tcPr>
          <w:p w14:paraId="6CE38305"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19%</w:t>
            </w:r>
          </w:p>
        </w:tc>
        <w:tc>
          <w:tcPr>
            <w:tcW w:w="992" w:type="dxa"/>
            <w:shd w:val="clear" w:color="auto" w:fill="auto"/>
            <w:noWrap/>
            <w:vAlign w:val="bottom"/>
            <w:hideMark/>
          </w:tcPr>
          <w:p w14:paraId="6F265345"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224</w:t>
            </w:r>
          </w:p>
        </w:tc>
        <w:tc>
          <w:tcPr>
            <w:tcW w:w="1276" w:type="dxa"/>
            <w:shd w:val="clear" w:color="auto" w:fill="auto"/>
            <w:noWrap/>
            <w:vAlign w:val="bottom"/>
            <w:hideMark/>
          </w:tcPr>
          <w:p w14:paraId="2C557308"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23%</w:t>
            </w:r>
          </w:p>
        </w:tc>
        <w:tc>
          <w:tcPr>
            <w:tcW w:w="992" w:type="dxa"/>
            <w:shd w:val="clear" w:color="auto" w:fill="auto"/>
            <w:noWrap/>
            <w:vAlign w:val="bottom"/>
            <w:hideMark/>
          </w:tcPr>
          <w:p w14:paraId="652AC236"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57</w:t>
            </w:r>
          </w:p>
        </w:tc>
        <w:tc>
          <w:tcPr>
            <w:tcW w:w="1276" w:type="dxa"/>
            <w:shd w:val="clear" w:color="auto" w:fill="auto"/>
            <w:noWrap/>
            <w:vAlign w:val="bottom"/>
            <w:hideMark/>
          </w:tcPr>
          <w:p w14:paraId="34697652"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14%</w:t>
            </w:r>
          </w:p>
        </w:tc>
      </w:tr>
      <w:tr w:rsidR="00066E94" w:rsidRPr="00066E94" w14:paraId="6FAB15BD" w14:textId="77777777" w:rsidTr="00066E94">
        <w:trPr>
          <w:trHeight w:val="290"/>
        </w:trPr>
        <w:tc>
          <w:tcPr>
            <w:tcW w:w="2122" w:type="dxa"/>
            <w:shd w:val="clear" w:color="auto" w:fill="auto"/>
            <w:noWrap/>
            <w:vAlign w:val="bottom"/>
            <w:hideMark/>
          </w:tcPr>
          <w:p w14:paraId="3C1C46E2" w14:textId="77777777" w:rsidR="00066E94" w:rsidRPr="00066E94" w:rsidRDefault="00066E94" w:rsidP="00066E94">
            <w:pPr>
              <w:spacing w:after="0" w:line="240" w:lineRule="auto"/>
              <w:rPr>
                <w:rFonts w:ascii="Calibri" w:eastAsia="Times New Roman" w:hAnsi="Calibri" w:cs="Calibri"/>
                <w:color w:val="000000"/>
                <w:lang w:eastAsia="en-GB"/>
              </w:rPr>
            </w:pPr>
            <w:r w:rsidRPr="00066E94">
              <w:rPr>
                <w:rFonts w:ascii="Calibri" w:eastAsia="Times New Roman" w:hAnsi="Calibri" w:cs="Calibri"/>
                <w:color w:val="000000"/>
                <w:lang w:eastAsia="en-GB"/>
              </w:rPr>
              <w:t>Blank</w:t>
            </w:r>
          </w:p>
        </w:tc>
        <w:tc>
          <w:tcPr>
            <w:tcW w:w="992" w:type="dxa"/>
            <w:shd w:val="clear" w:color="auto" w:fill="auto"/>
            <w:noWrap/>
            <w:vAlign w:val="bottom"/>
            <w:hideMark/>
          </w:tcPr>
          <w:p w14:paraId="23D82A4A"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9</w:t>
            </w:r>
          </w:p>
        </w:tc>
        <w:tc>
          <w:tcPr>
            <w:tcW w:w="1276" w:type="dxa"/>
            <w:shd w:val="clear" w:color="auto" w:fill="auto"/>
            <w:noWrap/>
            <w:vAlign w:val="bottom"/>
            <w:hideMark/>
          </w:tcPr>
          <w:p w14:paraId="36DB18B9"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w:t>
            </w:r>
          </w:p>
        </w:tc>
        <w:tc>
          <w:tcPr>
            <w:tcW w:w="992" w:type="dxa"/>
            <w:shd w:val="clear" w:color="auto" w:fill="auto"/>
            <w:noWrap/>
            <w:vAlign w:val="bottom"/>
            <w:hideMark/>
          </w:tcPr>
          <w:p w14:paraId="0E5041C2"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3</w:t>
            </w:r>
          </w:p>
        </w:tc>
        <w:tc>
          <w:tcPr>
            <w:tcW w:w="1276" w:type="dxa"/>
            <w:shd w:val="clear" w:color="auto" w:fill="auto"/>
            <w:noWrap/>
            <w:vAlign w:val="bottom"/>
            <w:hideMark/>
          </w:tcPr>
          <w:p w14:paraId="37F76D12"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0%</w:t>
            </w:r>
          </w:p>
        </w:tc>
        <w:tc>
          <w:tcPr>
            <w:tcW w:w="992" w:type="dxa"/>
            <w:shd w:val="clear" w:color="auto" w:fill="auto"/>
            <w:noWrap/>
            <w:vAlign w:val="bottom"/>
            <w:hideMark/>
          </w:tcPr>
          <w:p w14:paraId="2A200ADB"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3</w:t>
            </w:r>
          </w:p>
        </w:tc>
        <w:tc>
          <w:tcPr>
            <w:tcW w:w="1276" w:type="dxa"/>
            <w:shd w:val="clear" w:color="auto" w:fill="auto"/>
            <w:noWrap/>
            <w:vAlign w:val="bottom"/>
            <w:hideMark/>
          </w:tcPr>
          <w:p w14:paraId="2A4D39B1"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w:t>
            </w:r>
          </w:p>
        </w:tc>
      </w:tr>
      <w:tr w:rsidR="00066E94" w:rsidRPr="00066E94" w14:paraId="710E1EC1" w14:textId="77777777" w:rsidTr="00066E94">
        <w:trPr>
          <w:trHeight w:val="290"/>
        </w:trPr>
        <w:tc>
          <w:tcPr>
            <w:tcW w:w="2122" w:type="dxa"/>
            <w:shd w:val="clear" w:color="auto" w:fill="auto"/>
            <w:noWrap/>
            <w:vAlign w:val="bottom"/>
            <w:hideMark/>
          </w:tcPr>
          <w:p w14:paraId="116DD6B8" w14:textId="77777777" w:rsidR="00066E94" w:rsidRPr="00066E94" w:rsidRDefault="00066E94" w:rsidP="00066E94">
            <w:pPr>
              <w:spacing w:after="0" w:line="240" w:lineRule="auto"/>
              <w:jc w:val="right"/>
              <w:rPr>
                <w:rFonts w:ascii="Calibri" w:eastAsia="Times New Roman" w:hAnsi="Calibri" w:cs="Calibri"/>
                <w:color w:val="000000"/>
                <w:lang w:eastAsia="en-GB"/>
              </w:rPr>
            </w:pPr>
          </w:p>
        </w:tc>
        <w:tc>
          <w:tcPr>
            <w:tcW w:w="992" w:type="dxa"/>
            <w:shd w:val="clear" w:color="auto" w:fill="auto"/>
            <w:noWrap/>
            <w:vAlign w:val="bottom"/>
            <w:hideMark/>
          </w:tcPr>
          <w:p w14:paraId="3DD3096A"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1027</w:t>
            </w:r>
          </w:p>
        </w:tc>
        <w:tc>
          <w:tcPr>
            <w:tcW w:w="1276" w:type="dxa"/>
            <w:shd w:val="clear" w:color="auto" w:fill="auto"/>
            <w:noWrap/>
            <w:vAlign w:val="bottom"/>
            <w:hideMark/>
          </w:tcPr>
          <w:p w14:paraId="641D06AA"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w:t>
            </w:r>
          </w:p>
        </w:tc>
        <w:tc>
          <w:tcPr>
            <w:tcW w:w="992" w:type="dxa"/>
            <w:shd w:val="clear" w:color="auto" w:fill="auto"/>
            <w:noWrap/>
            <w:vAlign w:val="bottom"/>
            <w:hideMark/>
          </w:tcPr>
          <w:p w14:paraId="48959BD2"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959</w:t>
            </w:r>
          </w:p>
        </w:tc>
        <w:tc>
          <w:tcPr>
            <w:tcW w:w="1276" w:type="dxa"/>
            <w:shd w:val="clear" w:color="auto" w:fill="auto"/>
            <w:noWrap/>
            <w:vAlign w:val="bottom"/>
            <w:hideMark/>
          </w:tcPr>
          <w:p w14:paraId="2E87AEFE"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w:t>
            </w:r>
          </w:p>
        </w:tc>
        <w:tc>
          <w:tcPr>
            <w:tcW w:w="992" w:type="dxa"/>
            <w:shd w:val="clear" w:color="auto" w:fill="auto"/>
            <w:noWrap/>
            <w:vAlign w:val="bottom"/>
            <w:hideMark/>
          </w:tcPr>
          <w:p w14:paraId="265108BD"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394</w:t>
            </w:r>
          </w:p>
        </w:tc>
        <w:tc>
          <w:tcPr>
            <w:tcW w:w="1276" w:type="dxa"/>
            <w:shd w:val="clear" w:color="auto" w:fill="auto"/>
            <w:noWrap/>
            <w:vAlign w:val="bottom"/>
            <w:hideMark/>
          </w:tcPr>
          <w:p w14:paraId="0DC8F28F" w14:textId="77777777" w:rsidR="00066E94" w:rsidRPr="00066E94" w:rsidRDefault="00066E94" w:rsidP="00066E94">
            <w:pPr>
              <w:spacing w:after="0" w:line="240" w:lineRule="auto"/>
              <w:jc w:val="right"/>
              <w:rPr>
                <w:rFonts w:ascii="Calibri" w:eastAsia="Times New Roman" w:hAnsi="Calibri" w:cs="Calibri"/>
                <w:color w:val="000000"/>
                <w:lang w:eastAsia="en-GB"/>
              </w:rPr>
            </w:pPr>
            <w:r w:rsidRPr="00066E94">
              <w:rPr>
                <w:rFonts w:ascii="Calibri" w:eastAsia="Times New Roman" w:hAnsi="Calibri" w:cs="Calibri"/>
                <w:color w:val="000000"/>
                <w:lang w:eastAsia="en-GB"/>
              </w:rPr>
              <w:t>100%</w:t>
            </w:r>
          </w:p>
        </w:tc>
      </w:tr>
    </w:tbl>
    <w:p w14:paraId="6C4838DF" w14:textId="3265C362" w:rsidR="00066E94" w:rsidRDefault="00EE1C50">
      <w:r>
        <w:t>Source: Caselink</w:t>
      </w:r>
    </w:p>
    <w:p w14:paraId="0D36FFE1" w14:textId="7B34153A" w:rsidR="00554535" w:rsidRDefault="008F1625">
      <w:r>
        <w:t xml:space="preserve">Table 3 also indicates that as well as a higher proportion being at Stage 4 the proportion of new engagements where the client was at stage </w:t>
      </w:r>
      <w:r w:rsidR="009D5B3C">
        <w:t xml:space="preserve">1 has also increased from 10% in 2018 to 23% in 2020. This is </w:t>
      </w:r>
      <w:r w:rsidR="00CF2D1E">
        <w:t>likely to be linked to the higher number of young people who started with projects in 2020</w:t>
      </w:r>
      <w:r w:rsidR="00693115">
        <w:t xml:space="preserve"> and we can see that 82 of the 89 assessed as being at stage 1 were under the age of 20</w:t>
      </w:r>
      <w:r w:rsidR="00B94315">
        <w:t xml:space="preserve">. </w:t>
      </w:r>
      <w:r w:rsidR="00554535">
        <w:t xml:space="preserve">What this suggest is that the young people engaging with the services are not young people who had a job and have </w:t>
      </w:r>
      <w:r w:rsidR="001421A3">
        <w:t xml:space="preserve">lost it due to the pandemic, rather they are young people who hadn’t had a job to start with. </w:t>
      </w:r>
      <w:r w:rsidR="00F966EF">
        <w:t xml:space="preserve">They will still face the difficulty of getting a job in </w:t>
      </w:r>
      <w:proofErr w:type="spellStart"/>
      <w:proofErr w:type="gramStart"/>
      <w:r w:rsidR="00F966EF">
        <w:t>a</w:t>
      </w:r>
      <w:proofErr w:type="spellEnd"/>
      <w:proofErr w:type="gramEnd"/>
      <w:r w:rsidR="00F966EF">
        <w:t xml:space="preserve"> eco</w:t>
      </w:r>
      <w:r w:rsidR="007874FE">
        <w:t xml:space="preserve">nomic downturn, often where they will be competing against people with more experience. </w:t>
      </w:r>
    </w:p>
    <w:p w14:paraId="4A0D707A" w14:textId="1E3605BE" w:rsidR="00751911" w:rsidRDefault="00751911" w:rsidP="00D824D0">
      <w:pPr>
        <w:pStyle w:val="Heading3"/>
      </w:pPr>
      <w:r>
        <w:t>Table 4 Barriers Reco</w:t>
      </w:r>
      <w:r w:rsidR="00D824D0">
        <w:t xml:space="preserve">rded for </w:t>
      </w:r>
      <w:r>
        <w:t>New Engagements Quarter 1 (April -June)</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3"/>
        <w:gridCol w:w="721"/>
        <w:gridCol w:w="597"/>
        <w:gridCol w:w="663"/>
        <w:gridCol w:w="597"/>
        <w:gridCol w:w="663"/>
        <w:gridCol w:w="597"/>
      </w:tblGrid>
      <w:tr w:rsidR="00D824D0" w:rsidRPr="00636B5F" w14:paraId="62E79DE9" w14:textId="77777777" w:rsidTr="00E72B71">
        <w:trPr>
          <w:trHeight w:val="290"/>
        </w:trPr>
        <w:tc>
          <w:tcPr>
            <w:tcW w:w="5793" w:type="dxa"/>
            <w:shd w:val="clear" w:color="auto" w:fill="auto"/>
            <w:noWrap/>
            <w:vAlign w:val="bottom"/>
            <w:hideMark/>
          </w:tcPr>
          <w:p w14:paraId="4920C889" w14:textId="77777777" w:rsidR="00D824D0" w:rsidRPr="00636B5F" w:rsidRDefault="00D824D0" w:rsidP="00636B5F">
            <w:pPr>
              <w:spacing w:after="0" w:line="240" w:lineRule="auto"/>
              <w:rPr>
                <w:rFonts w:ascii="Times New Roman" w:eastAsia="Times New Roman" w:hAnsi="Times New Roman" w:cs="Times New Roman"/>
                <w:sz w:val="24"/>
                <w:szCs w:val="24"/>
                <w:lang w:eastAsia="en-GB"/>
              </w:rPr>
            </w:pPr>
          </w:p>
        </w:tc>
        <w:tc>
          <w:tcPr>
            <w:tcW w:w="1318" w:type="dxa"/>
            <w:gridSpan w:val="2"/>
            <w:shd w:val="clear" w:color="auto" w:fill="auto"/>
            <w:noWrap/>
            <w:vAlign w:val="bottom"/>
            <w:hideMark/>
          </w:tcPr>
          <w:p w14:paraId="3F210D97" w14:textId="797A2AEC" w:rsidR="00D824D0" w:rsidRPr="00636B5F" w:rsidRDefault="00D824D0"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2018</w:t>
            </w:r>
          </w:p>
        </w:tc>
        <w:tc>
          <w:tcPr>
            <w:tcW w:w="1260" w:type="dxa"/>
            <w:gridSpan w:val="2"/>
            <w:shd w:val="clear" w:color="auto" w:fill="auto"/>
            <w:noWrap/>
            <w:vAlign w:val="bottom"/>
            <w:hideMark/>
          </w:tcPr>
          <w:p w14:paraId="629F68C5" w14:textId="75C69668" w:rsidR="00D824D0" w:rsidRPr="00636B5F" w:rsidRDefault="00D824D0"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2019</w:t>
            </w:r>
          </w:p>
        </w:tc>
        <w:tc>
          <w:tcPr>
            <w:tcW w:w="1260" w:type="dxa"/>
            <w:gridSpan w:val="2"/>
            <w:shd w:val="clear" w:color="auto" w:fill="auto"/>
            <w:noWrap/>
            <w:vAlign w:val="bottom"/>
            <w:hideMark/>
          </w:tcPr>
          <w:p w14:paraId="7CF87684" w14:textId="13AB78AF" w:rsidR="00D824D0" w:rsidRPr="00636B5F" w:rsidRDefault="00D824D0"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2020</w:t>
            </w:r>
          </w:p>
        </w:tc>
      </w:tr>
      <w:tr w:rsidR="00636B5F" w:rsidRPr="00636B5F" w14:paraId="04F8F2BF" w14:textId="77777777" w:rsidTr="00C26B8D">
        <w:trPr>
          <w:trHeight w:val="240"/>
        </w:trPr>
        <w:tc>
          <w:tcPr>
            <w:tcW w:w="5793" w:type="dxa"/>
            <w:shd w:val="clear" w:color="auto" w:fill="auto"/>
            <w:noWrap/>
            <w:vAlign w:val="bottom"/>
            <w:hideMark/>
          </w:tcPr>
          <w:p w14:paraId="6AA1EC80"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Low skilled</w:t>
            </w:r>
          </w:p>
        </w:tc>
        <w:tc>
          <w:tcPr>
            <w:tcW w:w="721" w:type="dxa"/>
            <w:shd w:val="clear" w:color="auto" w:fill="auto"/>
            <w:noWrap/>
            <w:vAlign w:val="bottom"/>
            <w:hideMark/>
          </w:tcPr>
          <w:p w14:paraId="60FAEA2D"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697</w:t>
            </w:r>
          </w:p>
        </w:tc>
        <w:tc>
          <w:tcPr>
            <w:tcW w:w="597" w:type="dxa"/>
            <w:shd w:val="clear" w:color="auto" w:fill="auto"/>
            <w:noWrap/>
            <w:vAlign w:val="bottom"/>
            <w:hideMark/>
          </w:tcPr>
          <w:p w14:paraId="14F6ADF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68%</w:t>
            </w:r>
          </w:p>
        </w:tc>
        <w:tc>
          <w:tcPr>
            <w:tcW w:w="663" w:type="dxa"/>
            <w:shd w:val="clear" w:color="auto" w:fill="auto"/>
            <w:noWrap/>
            <w:vAlign w:val="bottom"/>
            <w:hideMark/>
          </w:tcPr>
          <w:p w14:paraId="567CD2F7"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633</w:t>
            </w:r>
          </w:p>
        </w:tc>
        <w:tc>
          <w:tcPr>
            <w:tcW w:w="597" w:type="dxa"/>
            <w:shd w:val="clear" w:color="auto" w:fill="auto"/>
            <w:noWrap/>
            <w:vAlign w:val="bottom"/>
            <w:hideMark/>
          </w:tcPr>
          <w:p w14:paraId="0DB63FB3"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66%</w:t>
            </w:r>
          </w:p>
        </w:tc>
        <w:tc>
          <w:tcPr>
            <w:tcW w:w="663" w:type="dxa"/>
            <w:shd w:val="clear" w:color="auto" w:fill="auto"/>
            <w:noWrap/>
            <w:vAlign w:val="bottom"/>
            <w:hideMark/>
          </w:tcPr>
          <w:p w14:paraId="23B67412"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229</w:t>
            </w:r>
          </w:p>
        </w:tc>
        <w:tc>
          <w:tcPr>
            <w:tcW w:w="597" w:type="dxa"/>
            <w:shd w:val="clear" w:color="auto" w:fill="auto"/>
            <w:noWrap/>
            <w:vAlign w:val="bottom"/>
            <w:hideMark/>
          </w:tcPr>
          <w:p w14:paraId="298F994D"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58%</w:t>
            </w:r>
          </w:p>
        </w:tc>
      </w:tr>
      <w:tr w:rsidR="00636B5F" w:rsidRPr="00636B5F" w14:paraId="1B7A099D" w14:textId="77777777" w:rsidTr="007C73A8">
        <w:trPr>
          <w:trHeight w:val="290"/>
        </w:trPr>
        <w:tc>
          <w:tcPr>
            <w:tcW w:w="5793" w:type="dxa"/>
            <w:shd w:val="clear" w:color="auto" w:fill="auto"/>
            <w:noWrap/>
            <w:vAlign w:val="bottom"/>
            <w:hideMark/>
          </w:tcPr>
          <w:p w14:paraId="5D853FB5"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Poor interview skills; CV presentation</w:t>
            </w:r>
          </w:p>
        </w:tc>
        <w:tc>
          <w:tcPr>
            <w:tcW w:w="721" w:type="dxa"/>
            <w:shd w:val="clear" w:color="auto" w:fill="auto"/>
            <w:noWrap/>
            <w:vAlign w:val="bottom"/>
            <w:hideMark/>
          </w:tcPr>
          <w:p w14:paraId="5BE9F70B"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327</w:t>
            </w:r>
          </w:p>
        </w:tc>
        <w:tc>
          <w:tcPr>
            <w:tcW w:w="597" w:type="dxa"/>
            <w:shd w:val="clear" w:color="auto" w:fill="auto"/>
            <w:noWrap/>
            <w:vAlign w:val="bottom"/>
            <w:hideMark/>
          </w:tcPr>
          <w:p w14:paraId="39B7373D"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32%</w:t>
            </w:r>
          </w:p>
        </w:tc>
        <w:tc>
          <w:tcPr>
            <w:tcW w:w="663" w:type="dxa"/>
            <w:shd w:val="clear" w:color="auto" w:fill="auto"/>
            <w:noWrap/>
            <w:vAlign w:val="bottom"/>
            <w:hideMark/>
          </w:tcPr>
          <w:p w14:paraId="44CEFB9F"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240</w:t>
            </w:r>
          </w:p>
        </w:tc>
        <w:tc>
          <w:tcPr>
            <w:tcW w:w="597" w:type="dxa"/>
            <w:shd w:val="clear" w:color="auto" w:fill="auto"/>
            <w:noWrap/>
            <w:vAlign w:val="bottom"/>
            <w:hideMark/>
          </w:tcPr>
          <w:p w14:paraId="5397E225"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25%</w:t>
            </w:r>
          </w:p>
        </w:tc>
        <w:tc>
          <w:tcPr>
            <w:tcW w:w="663" w:type="dxa"/>
            <w:shd w:val="clear" w:color="auto" w:fill="auto"/>
            <w:noWrap/>
            <w:vAlign w:val="bottom"/>
            <w:hideMark/>
          </w:tcPr>
          <w:p w14:paraId="04CB880D"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166</w:t>
            </w:r>
          </w:p>
        </w:tc>
        <w:tc>
          <w:tcPr>
            <w:tcW w:w="597" w:type="dxa"/>
            <w:shd w:val="clear" w:color="auto" w:fill="auto"/>
            <w:noWrap/>
            <w:vAlign w:val="bottom"/>
            <w:hideMark/>
          </w:tcPr>
          <w:p w14:paraId="0F2F0FB3"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42%</w:t>
            </w:r>
          </w:p>
        </w:tc>
      </w:tr>
      <w:tr w:rsidR="00636B5F" w:rsidRPr="00636B5F" w14:paraId="73238515" w14:textId="77777777" w:rsidTr="007C73A8">
        <w:trPr>
          <w:trHeight w:val="290"/>
        </w:trPr>
        <w:tc>
          <w:tcPr>
            <w:tcW w:w="5793" w:type="dxa"/>
            <w:shd w:val="clear" w:color="auto" w:fill="auto"/>
            <w:noWrap/>
            <w:vAlign w:val="bottom"/>
            <w:hideMark/>
          </w:tcPr>
          <w:p w14:paraId="33CF9FBB" w14:textId="6B792E41" w:rsidR="00636B5F" w:rsidRPr="00636B5F" w:rsidRDefault="00636B5F" w:rsidP="00636B5F">
            <w:pPr>
              <w:spacing w:after="0" w:line="240" w:lineRule="auto"/>
              <w:rPr>
                <w:rFonts w:ascii="Calibri" w:eastAsia="Times New Roman" w:hAnsi="Calibri" w:cs="Calibri"/>
                <w:color w:val="000000"/>
                <w:lang w:eastAsia="en-GB"/>
              </w:rPr>
            </w:pPr>
            <w:proofErr w:type="gramStart"/>
            <w:r w:rsidRPr="00636B5F">
              <w:rPr>
                <w:rFonts w:ascii="Calibri" w:eastAsia="Times New Roman" w:hAnsi="Calibri" w:cs="Calibri"/>
                <w:color w:val="000000"/>
                <w:lang w:eastAsia="en-GB"/>
              </w:rPr>
              <w:t>Migrants  people</w:t>
            </w:r>
            <w:proofErr w:type="gramEnd"/>
            <w:r w:rsidRPr="00636B5F">
              <w:rPr>
                <w:rFonts w:ascii="Calibri" w:eastAsia="Times New Roman" w:hAnsi="Calibri" w:cs="Calibri"/>
                <w:color w:val="000000"/>
                <w:lang w:eastAsia="en-GB"/>
              </w:rPr>
              <w:t xml:space="preserve"> with a foreign background  minorities </w:t>
            </w:r>
          </w:p>
        </w:tc>
        <w:tc>
          <w:tcPr>
            <w:tcW w:w="721" w:type="dxa"/>
            <w:shd w:val="clear" w:color="auto" w:fill="auto"/>
            <w:noWrap/>
            <w:vAlign w:val="bottom"/>
            <w:hideMark/>
          </w:tcPr>
          <w:p w14:paraId="3F2F9EA7"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97</w:t>
            </w:r>
          </w:p>
        </w:tc>
        <w:tc>
          <w:tcPr>
            <w:tcW w:w="597" w:type="dxa"/>
            <w:shd w:val="clear" w:color="auto" w:fill="auto"/>
            <w:noWrap/>
            <w:vAlign w:val="bottom"/>
            <w:hideMark/>
          </w:tcPr>
          <w:p w14:paraId="20E63EB7"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w:t>
            </w:r>
          </w:p>
        </w:tc>
        <w:tc>
          <w:tcPr>
            <w:tcW w:w="663" w:type="dxa"/>
            <w:shd w:val="clear" w:color="auto" w:fill="auto"/>
            <w:noWrap/>
            <w:vAlign w:val="bottom"/>
            <w:hideMark/>
          </w:tcPr>
          <w:p w14:paraId="3C00C859"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89</w:t>
            </w:r>
          </w:p>
        </w:tc>
        <w:tc>
          <w:tcPr>
            <w:tcW w:w="597" w:type="dxa"/>
            <w:shd w:val="clear" w:color="auto" w:fill="auto"/>
            <w:noWrap/>
            <w:vAlign w:val="bottom"/>
            <w:hideMark/>
          </w:tcPr>
          <w:p w14:paraId="0512DE52"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w:t>
            </w:r>
          </w:p>
        </w:tc>
        <w:tc>
          <w:tcPr>
            <w:tcW w:w="663" w:type="dxa"/>
            <w:shd w:val="clear" w:color="auto" w:fill="auto"/>
            <w:noWrap/>
            <w:vAlign w:val="bottom"/>
            <w:hideMark/>
          </w:tcPr>
          <w:p w14:paraId="3FE7970D"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109</w:t>
            </w:r>
          </w:p>
        </w:tc>
        <w:tc>
          <w:tcPr>
            <w:tcW w:w="597" w:type="dxa"/>
            <w:shd w:val="clear" w:color="auto" w:fill="auto"/>
            <w:noWrap/>
            <w:vAlign w:val="bottom"/>
            <w:hideMark/>
          </w:tcPr>
          <w:p w14:paraId="329AAE75"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28%</w:t>
            </w:r>
          </w:p>
        </w:tc>
      </w:tr>
      <w:tr w:rsidR="00636B5F" w:rsidRPr="00636B5F" w14:paraId="0461E1E2" w14:textId="77777777" w:rsidTr="007C73A8">
        <w:trPr>
          <w:trHeight w:val="290"/>
        </w:trPr>
        <w:tc>
          <w:tcPr>
            <w:tcW w:w="5793" w:type="dxa"/>
            <w:shd w:val="clear" w:color="auto" w:fill="auto"/>
            <w:noWrap/>
            <w:vAlign w:val="bottom"/>
            <w:hideMark/>
          </w:tcPr>
          <w:p w14:paraId="34B57AE1"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No qualifications</w:t>
            </w:r>
          </w:p>
        </w:tc>
        <w:tc>
          <w:tcPr>
            <w:tcW w:w="721" w:type="dxa"/>
            <w:shd w:val="clear" w:color="auto" w:fill="auto"/>
            <w:noWrap/>
            <w:vAlign w:val="bottom"/>
            <w:hideMark/>
          </w:tcPr>
          <w:p w14:paraId="3137D425"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396</w:t>
            </w:r>
          </w:p>
        </w:tc>
        <w:tc>
          <w:tcPr>
            <w:tcW w:w="597" w:type="dxa"/>
            <w:shd w:val="clear" w:color="auto" w:fill="auto"/>
            <w:noWrap/>
            <w:vAlign w:val="bottom"/>
            <w:hideMark/>
          </w:tcPr>
          <w:p w14:paraId="45D2511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39%</w:t>
            </w:r>
          </w:p>
        </w:tc>
        <w:tc>
          <w:tcPr>
            <w:tcW w:w="663" w:type="dxa"/>
            <w:shd w:val="clear" w:color="auto" w:fill="auto"/>
            <w:noWrap/>
            <w:vAlign w:val="bottom"/>
            <w:hideMark/>
          </w:tcPr>
          <w:p w14:paraId="307D4A9A"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308</w:t>
            </w:r>
          </w:p>
        </w:tc>
        <w:tc>
          <w:tcPr>
            <w:tcW w:w="597" w:type="dxa"/>
            <w:shd w:val="clear" w:color="auto" w:fill="auto"/>
            <w:noWrap/>
            <w:vAlign w:val="bottom"/>
            <w:hideMark/>
          </w:tcPr>
          <w:p w14:paraId="51A3C3B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32%</w:t>
            </w:r>
          </w:p>
        </w:tc>
        <w:tc>
          <w:tcPr>
            <w:tcW w:w="663" w:type="dxa"/>
            <w:shd w:val="clear" w:color="auto" w:fill="auto"/>
            <w:noWrap/>
            <w:vAlign w:val="bottom"/>
            <w:hideMark/>
          </w:tcPr>
          <w:p w14:paraId="1298588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108</w:t>
            </w:r>
          </w:p>
        </w:tc>
        <w:tc>
          <w:tcPr>
            <w:tcW w:w="597" w:type="dxa"/>
            <w:shd w:val="clear" w:color="auto" w:fill="auto"/>
            <w:noWrap/>
            <w:vAlign w:val="bottom"/>
            <w:hideMark/>
          </w:tcPr>
          <w:p w14:paraId="79887E4A"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27%</w:t>
            </w:r>
          </w:p>
        </w:tc>
      </w:tr>
      <w:tr w:rsidR="00636B5F" w:rsidRPr="00636B5F" w14:paraId="31B156C4" w14:textId="77777777" w:rsidTr="007C73A8">
        <w:trPr>
          <w:trHeight w:val="290"/>
        </w:trPr>
        <w:tc>
          <w:tcPr>
            <w:tcW w:w="5793" w:type="dxa"/>
            <w:shd w:val="clear" w:color="auto" w:fill="auto"/>
            <w:noWrap/>
            <w:vAlign w:val="bottom"/>
            <w:hideMark/>
          </w:tcPr>
          <w:p w14:paraId="3A235E76"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In full-time or part-time education</w:t>
            </w:r>
          </w:p>
        </w:tc>
        <w:tc>
          <w:tcPr>
            <w:tcW w:w="721" w:type="dxa"/>
            <w:shd w:val="clear" w:color="auto" w:fill="auto"/>
            <w:noWrap/>
            <w:vAlign w:val="bottom"/>
            <w:hideMark/>
          </w:tcPr>
          <w:p w14:paraId="79EBBA0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120</w:t>
            </w:r>
          </w:p>
        </w:tc>
        <w:tc>
          <w:tcPr>
            <w:tcW w:w="597" w:type="dxa"/>
            <w:shd w:val="clear" w:color="auto" w:fill="auto"/>
            <w:noWrap/>
            <w:vAlign w:val="bottom"/>
            <w:hideMark/>
          </w:tcPr>
          <w:p w14:paraId="634C33E5"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12%</w:t>
            </w:r>
          </w:p>
        </w:tc>
        <w:tc>
          <w:tcPr>
            <w:tcW w:w="663" w:type="dxa"/>
            <w:shd w:val="clear" w:color="auto" w:fill="auto"/>
            <w:noWrap/>
            <w:vAlign w:val="bottom"/>
            <w:hideMark/>
          </w:tcPr>
          <w:p w14:paraId="7D6FCF8C"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154</w:t>
            </w:r>
          </w:p>
        </w:tc>
        <w:tc>
          <w:tcPr>
            <w:tcW w:w="597" w:type="dxa"/>
            <w:shd w:val="clear" w:color="auto" w:fill="auto"/>
            <w:noWrap/>
            <w:vAlign w:val="bottom"/>
            <w:hideMark/>
          </w:tcPr>
          <w:p w14:paraId="457A3BA0"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16%</w:t>
            </w:r>
          </w:p>
        </w:tc>
        <w:tc>
          <w:tcPr>
            <w:tcW w:w="663" w:type="dxa"/>
            <w:shd w:val="clear" w:color="auto" w:fill="auto"/>
            <w:noWrap/>
            <w:vAlign w:val="bottom"/>
            <w:hideMark/>
          </w:tcPr>
          <w:p w14:paraId="7D4E3613"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107</w:t>
            </w:r>
          </w:p>
        </w:tc>
        <w:tc>
          <w:tcPr>
            <w:tcW w:w="597" w:type="dxa"/>
            <w:shd w:val="clear" w:color="auto" w:fill="auto"/>
            <w:noWrap/>
            <w:vAlign w:val="bottom"/>
            <w:hideMark/>
          </w:tcPr>
          <w:p w14:paraId="3C7D65A6"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27%</w:t>
            </w:r>
          </w:p>
        </w:tc>
      </w:tr>
      <w:tr w:rsidR="00636B5F" w:rsidRPr="00636B5F" w14:paraId="6FDBE27B" w14:textId="77777777" w:rsidTr="007C73A8">
        <w:trPr>
          <w:trHeight w:val="290"/>
        </w:trPr>
        <w:tc>
          <w:tcPr>
            <w:tcW w:w="5793" w:type="dxa"/>
            <w:shd w:val="clear" w:color="auto" w:fill="auto"/>
            <w:noWrap/>
            <w:vAlign w:val="bottom"/>
            <w:hideMark/>
          </w:tcPr>
          <w:p w14:paraId="7B5A5F49"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Living in a jobless household</w:t>
            </w:r>
          </w:p>
        </w:tc>
        <w:tc>
          <w:tcPr>
            <w:tcW w:w="721" w:type="dxa"/>
            <w:shd w:val="clear" w:color="auto" w:fill="auto"/>
            <w:noWrap/>
            <w:vAlign w:val="bottom"/>
            <w:hideMark/>
          </w:tcPr>
          <w:p w14:paraId="55067BAA"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173</w:t>
            </w:r>
          </w:p>
        </w:tc>
        <w:tc>
          <w:tcPr>
            <w:tcW w:w="597" w:type="dxa"/>
            <w:shd w:val="clear" w:color="auto" w:fill="auto"/>
            <w:noWrap/>
            <w:vAlign w:val="bottom"/>
            <w:hideMark/>
          </w:tcPr>
          <w:p w14:paraId="74C3043E"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17%</w:t>
            </w:r>
          </w:p>
        </w:tc>
        <w:tc>
          <w:tcPr>
            <w:tcW w:w="663" w:type="dxa"/>
            <w:shd w:val="clear" w:color="auto" w:fill="auto"/>
            <w:noWrap/>
            <w:vAlign w:val="bottom"/>
            <w:hideMark/>
          </w:tcPr>
          <w:p w14:paraId="7886B66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181</w:t>
            </w:r>
          </w:p>
        </w:tc>
        <w:tc>
          <w:tcPr>
            <w:tcW w:w="597" w:type="dxa"/>
            <w:shd w:val="clear" w:color="auto" w:fill="auto"/>
            <w:noWrap/>
            <w:vAlign w:val="bottom"/>
            <w:hideMark/>
          </w:tcPr>
          <w:p w14:paraId="6310A59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19%</w:t>
            </w:r>
          </w:p>
        </w:tc>
        <w:tc>
          <w:tcPr>
            <w:tcW w:w="663" w:type="dxa"/>
            <w:shd w:val="clear" w:color="auto" w:fill="auto"/>
            <w:noWrap/>
            <w:vAlign w:val="bottom"/>
            <w:hideMark/>
          </w:tcPr>
          <w:p w14:paraId="10ADB521"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95</w:t>
            </w:r>
          </w:p>
        </w:tc>
        <w:tc>
          <w:tcPr>
            <w:tcW w:w="597" w:type="dxa"/>
            <w:shd w:val="clear" w:color="auto" w:fill="auto"/>
            <w:noWrap/>
            <w:vAlign w:val="bottom"/>
            <w:hideMark/>
          </w:tcPr>
          <w:p w14:paraId="730A5E9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w:t>
            </w:r>
          </w:p>
        </w:tc>
      </w:tr>
      <w:tr w:rsidR="00636B5F" w:rsidRPr="00636B5F" w14:paraId="576673CF" w14:textId="77777777" w:rsidTr="007C73A8">
        <w:trPr>
          <w:trHeight w:val="290"/>
        </w:trPr>
        <w:tc>
          <w:tcPr>
            <w:tcW w:w="5793" w:type="dxa"/>
            <w:shd w:val="clear" w:color="auto" w:fill="auto"/>
            <w:noWrap/>
            <w:vAlign w:val="bottom"/>
            <w:hideMark/>
          </w:tcPr>
          <w:p w14:paraId="618C6CDC"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Mental health issues</w:t>
            </w:r>
          </w:p>
        </w:tc>
        <w:tc>
          <w:tcPr>
            <w:tcW w:w="721" w:type="dxa"/>
            <w:shd w:val="clear" w:color="auto" w:fill="auto"/>
            <w:noWrap/>
            <w:vAlign w:val="bottom"/>
            <w:hideMark/>
          </w:tcPr>
          <w:p w14:paraId="63392E9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239</w:t>
            </w:r>
          </w:p>
        </w:tc>
        <w:tc>
          <w:tcPr>
            <w:tcW w:w="597" w:type="dxa"/>
            <w:shd w:val="clear" w:color="auto" w:fill="auto"/>
            <w:noWrap/>
            <w:vAlign w:val="bottom"/>
            <w:hideMark/>
          </w:tcPr>
          <w:p w14:paraId="23BCCADE"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23%</w:t>
            </w:r>
          </w:p>
        </w:tc>
        <w:tc>
          <w:tcPr>
            <w:tcW w:w="663" w:type="dxa"/>
            <w:shd w:val="clear" w:color="auto" w:fill="auto"/>
            <w:noWrap/>
            <w:vAlign w:val="bottom"/>
            <w:hideMark/>
          </w:tcPr>
          <w:p w14:paraId="1CBF7E1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247</w:t>
            </w:r>
          </w:p>
        </w:tc>
        <w:tc>
          <w:tcPr>
            <w:tcW w:w="597" w:type="dxa"/>
            <w:shd w:val="clear" w:color="auto" w:fill="auto"/>
            <w:noWrap/>
            <w:vAlign w:val="bottom"/>
            <w:hideMark/>
          </w:tcPr>
          <w:p w14:paraId="7955113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26%</w:t>
            </w:r>
          </w:p>
        </w:tc>
        <w:tc>
          <w:tcPr>
            <w:tcW w:w="663" w:type="dxa"/>
            <w:shd w:val="clear" w:color="auto" w:fill="auto"/>
            <w:noWrap/>
            <w:vAlign w:val="bottom"/>
            <w:hideMark/>
          </w:tcPr>
          <w:p w14:paraId="4F827B8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95</w:t>
            </w:r>
          </w:p>
        </w:tc>
        <w:tc>
          <w:tcPr>
            <w:tcW w:w="597" w:type="dxa"/>
            <w:shd w:val="clear" w:color="auto" w:fill="auto"/>
            <w:noWrap/>
            <w:vAlign w:val="bottom"/>
            <w:hideMark/>
          </w:tcPr>
          <w:p w14:paraId="5BC95FA0"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w:t>
            </w:r>
          </w:p>
        </w:tc>
      </w:tr>
      <w:tr w:rsidR="00636B5F" w:rsidRPr="00636B5F" w14:paraId="075C7602" w14:textId="77777777" w:rsidTr="007C73A8">
        <w:trPr>
          <w:trHeight w:val="290"/>
        </w:trPr>
        <w:tc>
          <w:tcPr>
            <w:tcW w:w="5793" w:type="dxa"/>
            <w:shd w:val="clear" w:color="auto" w:fill="auto"/>
            <w:noWrap/>
            <w:vAlign w:val="bottom"/>
            <w:hideMark/>
          </w:tcPr>
          <w:p w14:paraId="1075C19D"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Economically Inactive</w:t>
            </w:r>
          </w:p>
        </w:tc>
        <w:tc>
          <w:tcPr>
            <w:tcW w:w="721" w:type="dxa"/>
            <w:shd w:val="clear" w:color="auto" w:fill="auto"/>
            <w:noWrap/>
            <w:vAlign w:val="bottom"/>
            <w:hideMark/>
          </w:tcPr>
          <w:p w14:paraId="10916FB7"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92</w:t>
            </w:r>
          </w:p>
        </w:tc>
        <w:tc>
          <w:tcPr>
            <w:tcW w:w="597" w:type="dxa"/>
            <w:shd w:val="clear" w:color="auto" w:fill="auto"/>
            <w:noWrap/>
            <w:vAlign w:val="bottom"/>
            <w:hideMark/>
          </w:tcPr>
          <w:p w14:paraId="3677847E"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9%</w:t>
            </w:r>
          </w:p>
        </w:tc>
        <w:tc>
          <w:tcPr>
            <w:tcW w:w="663" w:type="dxa"/>
            <w:shd w:val="clear" w:color="auto" w:fill="auto"/>
            <w:noWrap/>
            <w:vAlign w:val="bottom"/>
            <w:hideMark/>
          </w:tcPr>
          <w:p w14:paraId="2222946A"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53</w:t>
            </w:r>
          </w:p>
        </w:tc>
        <w:tc>
          <w:tcPr>
            <w:tcW w:w="597" w:type="dxa"/>
            <w:shd w:val="clear" w:color="auto" w:fill="auto"/>
            <w:noWrap/>
            <w:vAlign w:val="bottom"/>
            <w:hideMark/>
          </w:tcPr>
          <w:p w14:paraId="23A47AA8"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6%</w:t>
            </w:r>
          </w:p>
        </w:tc>
        <w:tc>
          <w:tcPr>
            <w:tcW w:w="663" w:type="dxa"/>
            <w:shd w:val="clear" w:color="auto" w:fill="auto"/>
            <w:noWrap/>
            <w:vAlign w:val="bottom"/>
            <w:hideMark/>
          </w:tcPr>
          <w:p w14:paraId="780231D4"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89</w:t>
            </w:r>
          </w:p>
        </w:tc>
        <w:tc>
          <w:tcPr>
            <w:tcW w:w="597" w:type="dxa"/>
            <w:shd w:val="clear" w:color="auto" w:fill="auto"/>
            <w:noWrap/>
            <w:vAlign w:val="bottom"/>
            <w:hideMark/>
          </w:tcPr>
          <w:p w14:paraId="073E9811"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23%</w:t>
            </w:r>
          </w:p>
        </w:tc>
      </w:tr>
      <w:tr w:rsidR="00636B5F" w:rsidRPr="00636B5F" w14:paraId="4AFBBBB9" w14:textId="77777777" w:rsidTr="007C73A8">
        <w:trPr>
          <w:trHeight w:val="290"/>
        </w:trPr>
        <w:tc>
          <w:tcPr>
            <w:tcW w:w="5793" w:type="dxa"/>
            <w:shd w:val="clear" w:color="auto" w:fill="auto"/>
            <w:noWrap/>
            <w:vAlign w:val="bottom"/>
            <w:hideMark/>
          </w:tcPr>
          <w:p w14:paraId="0127D630"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Lack of confidence</w:t>
            </w:r>
          </w:p>
        </w:tc>
        <w:tc>
          <w:tcPr>
            <w:tcW w:w="721" w:type="dxa"/>
            <w:shd w:val="clear" w:color="auto" w:fill="auto"/>
            <w:noWrap/>
            <w:vAlign w:val="bottom"/>
            <w:hideMark/>
          </w:tcPr>
          <w:p w14:paraId="7050B066"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246</w:t>
            </w:r>
          </w:p>
        </w:tc>
        <w:tc>
          <w:tcPr>
            <w:tcW w:w="597" w:type="dxa"/>
            <w:shd w:val="clear" w:color="auto" w:fill="auto"/>
            <w:noWrap/>
            <w:vAlign w:val="bottom"/>
            <w:hideMark/>
          </w:tcPr>
          <w:p w14:paraId="628C2566"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w:t>
            </w:r>
          </w:p>
        </w:tc>
        <w:tc>
          <w:tcPr>
            <w:tcW w:w="663" w:type="dxa"/>
            <w:shd w:val="clear" w:color="auto" w:fill="auto"/>
            <w:noWrap/>
            <w:vAlign w:val="bottom"/>
            <w:hideMark/>
          </w:tcPr>
          <w:p w14:paraId="3583B876"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243</w:t>
            </w:r>
          </w:p>
        </w:tc>
        <w:tc>
          <w:tcPr>
            <w:tcW w:w="597" w:type="dxa"/>
            <w:shd w:val="clear" w:color="auto" w:fill="auto"/>
            <w:noWrap/>
            <w:vAlign w:val="bottom"/>
            <w:hideMark/>
          </w:tcPr>
          <w:p w14:paraId="19484AC1"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25%</w:t>
            </w:r>
          </w:p>
        </w:tc>
        <w:tc>
          <w:tcPr>
            <w:tcW w:w="663" w:type="dxa"/>
            <w:shd w:val="clear" w:color="auto" w:fill="auto"/>
            <w:noWrap/>
            <w:vAlign w:val="bottom"/>
            <w:hideMark/>
          </w:tcPr>
          <w:p w14:paraId="05689752"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81</w:t>
            </w:r>
          </w:p>
        </w:tc>
        <w:tc>
          <w:tcPr>
            <w:tcW w:w="597" w:type="dxa"/>
            <w:shd w:val="clear" w:color="auto" w:fill="auto"/>
            <w:noWrap/>
            <w:vAlign w:val="bottom"/>
            <w:hideMark/>
          </w:tcPr>
          <w:p w14:paraId="1881EA07"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21%</w:t>
            </w:r>
          </w:p>
        </w:tc>
      </w:tr>
      <w:tr w:rsidR="00636B5F" w:rsidRPr="00636B5F" w14:paraId="12559A8E" w14:textId="77777777" w:rsidTr="007C73A8">
        <w:trPr>
          <w:trHeight w:val="290"/>
        </w:trPr>
        <w:tc>
          <w:tcPr>
            <w:tcW w:w="5793" w:type="dxa"/>
            <w:shd w:val="clear" w:color="auto" w:fill="auto"/>
            <w:noWrap/>
            <w:vAlign w:val="bottom"/>
            <w:hideMark/>
          </w:tcPr>
          <w:p w14:paraId="365D965A" w14:textId="77777777" w:rsidR="00636B5F" w:rsidRPr="00636B5F" w:rsidRDefault="00636B5F" w:rsidP="00636B5F">
            <w:pPr>
              <w:spacing w:after="0" w:line="240" w:lineRule="auto"/>
              <w:rPr>
                <w:rFonts w:ascii="Calibri" w:eastAsia="Times New Roman" w:hAnsi="Calibri" w:cs="Calibri"/>
                <w:color w:val="000000"/>
                <w:lang w:eastAsia="en-GB"/>
              </w:rPr>
            </w:pPr>
            <w:r w:rsidRPr="00636B5F">
              <w:rPr>
                <w:rFonts w:ascii="Calibri" w:eastAsia="Times New Roman" w:hAnsi="Calibri" w:cs="Calibri"/>
                <w:color w:val="000000"/>
                <w:lang w:eastAsia="en-GB"/>
              </w:rPr>
              <w:t>Workforce Returner</w:t>
            </w:r>
          </w:p>
        </w:tc>
        <w:tc>
          <w:tcPr>
            <w:tcW w:w="721" w:type="dxa"/>
            <w:shd w:val="clear" w:color="auto" w:fill="auto"/>
            <w:noWrap/>
            <w:vAlign w:val="bottom"/>
            <w:hideMark/>
          </w:tcPr>
          <w:p w14:paraId="3F5DD4FC"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82</w:t>
            </w:r>
          </w:p>
        </w:tc>
        <w:tc>
          <w:tcPr>
            <w:tcW w:w="597" w:type="dxa"/>
            <w:shd w:val="clear" w:color="auto" w:fill="auto"/>
            <w:noWrap/>
            <w:vAlign w:val="bottom"/>
            <w:hideMark/>
          </w:tcPr>
          <w:p w14:paraId="0DC09CAB"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8%</w:t>
            </w:r>
          </w:p>
        </w:tc>
        <w:tc>
          <w:tcPr>
            <w:tcW w:w="663" w:type="dxa"/>
            <w:shd w:val="clear" w:color="auto" w:fill="auto"/>
            <w:noWrap/>
            <w:vAlign w:val="bottom"/>
            <w:hideMark/>
          </w:tcPr>
          <w:p w14:paraId="31470CC9"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70</w:t>
            </w:r>
          </w:p>
        </w:tc>
        <w:tc>
          <w:tcPr>
            <w:tcW w:w="597" w:type="dxa"/>
            <w:shd w:val="clear" w:color="auto" w:fill="auto"/>
            <w:noWrap/>
            <w:vAlign w:val="bottom"/>
            <w:hideMark/>
          </w:tcPr>
          <w:p w14:paraId="0DC24B7F"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7%</w:t>
            </w:r>
          </w:p>
        </w:tc>
        <w:tc>
          <w:tcPr>
            <w:tcW w:w="663" w:type="dxa"/>
            <w:shd w:val="clear" w:color="auto" w:fill="auto"/>
            <w:noWrap/>
            <w:vAlign w:val="bottom"/>
            <w:hideMark/>
          </w:tcPr>
          <w:p w14:paraId="71D6FDC2"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77</w:t>
            </w:r>
          </w:p>
        </w:tc>
        <w:tc>
          <w:tcPr>
            <w:tcW w:w="597" w:type="dxa"/>
            <w:shd w:val="clear" w:color="auto" w:fill="auto"/>
            <w:noWrap/>
            <w:vAlign w:val="bottom"/>
            <w:hideMark/>
          </w:tcPr>
          <w:p w14:paraId="5FD1E546" w14:textId="77777777" w:rsidR="00636B5F" w:rsidRPr="00636B5F" w:rsidRDefault="00636B5F" w:rsidP="00636B5F">
            <w:pPr>
              <w:spacing w:after="0" w:line="240" w:lineRule="auto"/>
              <w:jc w:val="right"/>
              <w:rPr>
                <w:rFonts w:ascii="Calibri" w:eastAsia="Times New Roman" w:hAnsi="Calibri" w:cs="Calibri"/>
                <w:color w:val="000000"/>
                <w:lang w:eastAsia="en-GB"/>
              </w:rPr>
            </w:pPr>
            <w:r w:rsidRPr="00636B5F">
              <w:rPr>
                <w:rFonts w:ascii="Calibri" w:eastAsia="Times New Roman" w:hAnsi="Calibri" w:cs="Calibri"/>
                <w:color w:val="000000"/>
                <w:lang w:eastAsia="en-GB"/>
              </w:rPr>
              <w:t>20%</w:t>
            </w:r>
          </w:p>
        </w:tc>
      </w:tr>
    </w:tbl>
    <w:p w14:paraId="2D4043CE" w14:textId="7CFFEE89" w:rsidR="00AE0499" w:rsidRDefault="00C26B8D">
      <w:r>
        <w:t>Source: Caselink</w:t>
      </w:r>
    </w:p>
    <w:p w14:paraId="0BBE5F41" w14:textId="77777777" w:rsidR="00F57DDC" w:rsidRDefault="00F57DDC" w:rsidP="00F57DDC">
      <w:bookmarkStart w:id="3" w:name="_Hlk48026830"/>
      <w:r>
        <w:t>Each client who is assessed has barriers identified and recorded on Caselink. These can range from being low skilled, through to issues with drug addiction. Table 4 looks at the 10 most frequently cited barriers in 2020 and compares this with the position in 2018 and 2019.</w:t>
      </w:r>
    </w:p>
    <w:p w14:paraId="105C531D" w14:textId="467976EC" w:rsidR="002D729F" w:rsidRDefault="00C26B8D">
      <w:r>
        <w:t>From this we can see that Low Skilled remains the most frequen</w:t>
      </w:r>
      <w:r w:rsidR="000A7825">
        <w:t xml:space="preserve">tly recorded barrier although as a proportion it has fallen slightly </w:t>
      </w:r>
      <w:r w:rsidR="00C1180C">
        <w:t>in 2020 when compared to the previous quarters.</w:t>
      </w:r>
      <w:r w:rsidR="00DF6DD0">
        <w:t xml:space="preserve"> Poor interview skills </w:t>
      </w:r>
      <w:r w:rsidR="001F43AC">
        <w:t xml:space="preserve">and CV presentation </w:t>
      </w:r>
      <w:r w:rsidR="00DF6DD0">
        <w:t>has been recorded by 42% of new</w:t>
      </w:r>
      <w:r w:rsidR="001F43AC">
        <w:t xml:space="preserve"> engagements in quarter 1 2020</w:t>
      </w:r>
      <w:r w:rsidR="00343B87">
        <w:t xml:space="preserve"> – in 2019 it was 25% and in 2018 it was 32%.</w:t>
      </w:r>
    </w:p>
    <w:bookmarkEnd w:id="3"/>
    <w:p w14:paraId="3CD41C64" w14:textId="6E01690E" w:rsidR="009729C6" w:rsidRDefault="009729C6">
      <w:r>
        <w:t xml:space="preserve">In full and part time education has increased from </w:t>
      </w:r>
      <w:r w:rsidR="00C517FF">
        <w:t xml:space="preserve">16% in quarter 1 2019 to 27% in quarter 1 2020. This is likely related to the </w:t>
      </w:r>
      <w:r w:rsidR="00386E92">
        <w:t xml:space="preserve">high number of new </w:t>
      </w:r>
      <w:r w:rsidR="00752D4E">
        <w:t>engagements</w:t>
      </w:r>
      <w:r w:rsidR="00386E92">
        <w:t xml:space="preserve"> from those under the age of 20 and the fact that </w:t>
      </w:r>
      <w:r w:rsidR="00E353B1">
        <w:t xml:space="preserve">projects who work with schools may well have added more new engagements relative to </w:t>
      </w:r>
      <w:r w:rsidR="00752D4E">
        <w:t>other projects, simply because of the easier referral/transition process.</w:t>
      </w:r>
      <w:r w:rsidR="008B5B37">
        <w:t xml:space="preserve"> </w:t>
      </w:r>
    </w:p>
    <w:p w14:paraId="47282A82" w14:textId="1818DCEA" w:rsidR="008B5B37" w:rsidRDefault="008B5B37">
      <w:r>
        <w:t xml:space="preserve">The rise in the number of clients who had marked that they were economically inactive could </w:t>
      </w:r>
      <w:r w:rsidR="00DD7FB8">
        <w:t xml:space="preserve">also be linked into the number of young people coming onto the system as this is usually linked to individuals who are not working but aren’t claiming one of the out of work benefits. This can often be due to the </w:t>
      </w:r>
      <w:r w:rsidR="001B0839">
        <w:t>conditions relating to the benefit (</w:t>
      </w:r>
      <w:proofErr w:type="spellStart"/>
      <w:r w:rsidR="001B0839">
        <w:t>its</w:t>
      </w:r>
      <w:proofErr w:type="spellEnd"/>
      <w:r w:rsidR="001B0839">
        <w:t xml:space="preserve"> rare for under 18 years olds to be able to claim JSA or UC) </w:t>
      </w:r>
      <w:r w:rsidR="00B353DE">
        <w:t xml:space="preserve">or it could be due to the person having just left a job and isn’t yet claiming. </w:t>
      </w:r>
    </w:p>
    <w:p w14:paraId="016EE9AC" w14:textId="436F7361" w:rsidR="00C26B8D" w:rsidRDefault="002D729F">
      <w:r>
        <w:t xml:space="preserve">The </w:t>
      </w:r>
      <w:r w:rsidR="00B353DE">
        <w:t>barrier t</w:t>
      </w:r>
      <w:r>
        <w:t xml:space="preserve">hat stands out is </w:t>
      </w:r>
      <w:r w:rsidR="00C02D82" w:rsidRPr="00C02D82">
        <w:rPr>
          <w:i/>
          <w:iCs/>
        </w:rPr>
        <w:t>“Migrants</w:t>
      </w:r>
      <w:r w:rsidR="00495DA2">
        <w:rPr>
          <w:i/>
          <w:iCs/>
        </w:rPr>
        <w:t xml:space="preserve"> /</w:t>
      </w:r>
      <w:r w:rsidR="00C02D82" w:rsidRPr="00C02D82">
        <w:rPr>
          <w:i/>
          <w:iCs/>
        </w:rPr>
        <w:t xml:space="preserve"> people with a </w:t>
      </w:r>
      <w:proofErr w:type="gramStart"/>
      <w:r w:rsidR="00C02D82" w:rsidRPr="00C02D82">
        <w:rPr>
          <w:i/>
          <w:iCs/>
        </w:rPr>
        <w:t xml:space="preserve">foreign background </w:t>
      </w:r>
      <w:r w:rsidR="00495DA2">
        <w:rPr>
          <w:i/>
          <w:iCs/>
        </w:rPr>
        <w:t>/</w:t>
      </w:r>
      <w:r w:rsidR="00C02D82" w:rsidRPr="00C02D82">
        <w:rPr>
          <w:i/>
          <w:iCs/>
        </w:rPr>
        <w:t xml:space="preserve"> minorities</w:t>
      </w:r>
      <w:proofErr w:type="gramEnd"/>
      <w:r w:rsidR="00C02D82" w:rsidRPr="00C02D82">
        <w:rPr>
          <w:i/>
          <w:iCs/>
        </w:rPr>
        <w:t xml:space="preserve"> (including marginalised communities such as the Roma)”</w:t>
      </w:r>
      <w:r w:rsidR="00C02D82">
        <w:t>. In 2018 and 2019 9% of new engagements had this barrier ticked</w:t>
      </w:r>
      <w:r w:rsidR="005A32F6">
        <w:t>. I</w:t>
      </w:r>
      <w:r w:rsidR="00C02D82">
        <w:t xml:space="preserve">n 2020 28% -109 clients in total- had this barrier ticked. </w:t>
      </w:r>
      <w:r w:rsidR="00495DA2">
        <w:t>Clearly,</w:t>
      </w:r>
      <w:r w:rsidR="000D6A66">
        <w:t xml:space="preserve"> over lockdown a far higher proportion of new engagements were from people with a migrant background. </w:t>
      </w:r>
      <w:r w:rsidR="00F83AC4">
        <w:t xml:space="preserve"> Table </w:t>
      </w:r>
      <w:r w:rsidR="005A32F6">
        <w:t>5</w:t>
      </w:r>
      <w:r w:rsidR="00F83AC4">
        <w:t xml:space="preserve"> below breaks this down in terms of ethnicity</w:t>
      </w:r>
      <w:r w:rsidR="00D31171">
        <w:t>.</w:t>
      </w:r>
      <w:r w:rsidR="00F83AC4">
        <w:t xml:space="preserve"> </w:t>
      </w:r>
    </w:p>
    <w:p w14:paraId="6CCE56D2" w14:textId="0F80E4BE" w:rsidR="00AE0499" w:rsidRDefault="005A32F6" w:rsidP="00A5004B">
      <w:pPr>
        <w:pStyle w:val="Heading3"/>
      </w:pPr>
      <w:r>
        <w:t xml:space="preserve">Table 5 Ethnicity Recorded for New Engagements </w:t>
      </w:r>
      <w:r w:rsidR="001355BE">
        <w:t xml:space="preserve">where the barrier </w:t>
      </w:r>
      <w:r w:rsidR="001355BE" w:rsidRPr="00C02D82">
        <w:rPr>
          <w:i/>
          <w:iCs/>
        </w:rPr>
        <w:t xml:space="preserve">“Migrants </w:t>
      </w:r>
      <w:r w:rsidR="00495DA2">
        <w:rPr>
          <w:i/>
          <w:iCs/>
        </w:rPr>
        <w:t xml:space="preserve">/ </w:t>
      </w:r>
      <w:r w:rsidR="001355BE" w:rsidRPr="00C02D82">
        <w:rPr>
          <w:i/>
          <w:iCs/>
        </w:rPr>
        <w:t xml:space="preserve">people with a foreign background </w:t>
      </w:r>
      <w:r w:rsidR="00495DA2">
        <w:rPr>
          <w:i/>
          <w:iCs/>
        </w:rPr>
        <w:t xml:space="preserve">/ </w:t>
      </w:r>
      <w:r w:rsidR="001355BE" w:rsidRPr="00C02D82">
        <w:rPr>
          <w:i/>
          <w:iCs/>
        </w:rPr>
        <w:t>minorities (including marginalised communities such as the Roma)”</w:t>
      </w:r>
      <w:r w:rsidR="001355BE">
        <w:t xml:space="preserve"> </w:t>
      </w:r>
      <w:r w:rsidR="00A5004B">
        <w:t xml:space="preserve">had been ticked </w:t>
      </w:r>
      <w:r>
        <w:t>Quarter 1 (April -June)</w:t>
      </w:r>
    </w:p>
    <w:tbl>
      <w:tblPr>
        <w:tblStyle w:val="TableGrid"/>
        <w:tblW w:w="0" w:type="auto"/>
        <w:tblLook w:val="04A0" w:firstRow="1" w:lastRow="0" w:firstColumn="1" w:lastColumn="0" w:noHBand="0" w:noVBand="1"/>
      </w:tblPr>
      <w:tblGrid>
        <w:gridCol w:w="7683"/>
        <w:gridCol w:w="1333"/>
      </w:tblGrid>
      <w:tr w:rsidR="00F25D05" w:rsidRPr="00F25D05" w14:paraId="31DE2E91" w14:textId="77777777" w:rsidTr="00A5004B">
        <w:trPr>
          <w:trHeight w:val="290"/>
        </w:trPr>
        <w:tc>
          <w:tcPr>
            <w:tcW w:w="7683" w:type="dxa"/>
            <w:noWrap/>
          </w:tcPr>
          <w:p w14:paraId="7089B7A8" w14:textId="6DE7A07B" w:rsidR="00F25D05" w:rsidRPr="00F25D05" w:rsidRDefault="00F25D05">
            <w:pPr>
              <w:rPr>
                <w:b/>
                <w:bCs/>
              </w:rPr>
            </w:pPr>
          </w:p>
        </w:tc>
        <w:tc>
          <w:tcPr>
            <w:tcW w:w="1333" w:type="dxa"/>
            <w:noWrap/>
          </w:tcPr>
          <w:p w14:paraId="6E579AE5" w14:textId="1696FC7E" w:rsidR="00F25D05" w:rsidRPr="00F25D05" w:rsidRDefault="00A5004B" w:rsidP="00F25D05">
            <w:pPr>
              <w:rPr>
                <w:b/>
                <w:bCs/>
              </w:rPr>
            </w:pPr>
            <w:r>
              <w:rPr>
                <w:b/>
                <w:bCs/>
              </w:rPr>
              <w:t>Count</w:t>
            </w:r>
          </w:p>
        </w:tc>
      </w:tr>
      <w:tr w:rsidR="00A5004B" w:rsidRPr="00F25D05" w14:paraId="4CED4082" w14:textId="77777777" w:rsidTr="00F25D05">
        <w:trPr>
          <w:trHeight w:val="290"/>
        </w:trPr>
        <w:tc>
          <w:tcPr>
            <w:tcW w:w="7683" w:type="dxa"/>
            <w:noWrap/>
          </w:tcPr>
          <w:p w14:paraId="44F25759" w14:textId="5A6E3189" w:rsidR="00A5004B" w:rsidRPr="00F25D05" w:rsidRDefault="00A5004B" w:rsidP="00A5004B">
            <w:pPr>
              <w:rPr>
                <w:b/>
                <w:bCs/>
              </w:rPr>
            </w:pPr>
            <w:r w:rsidRPr="00F25D05">
              <w:rPr>
                <w:b/>
                <w:bCs/>
              </w:rPr>
              <w:t>African, African Scottish or African British</w:t>
            </w:r>
          </w:p>
        </w:tc>
        <w:tc>
          <w:tcPr>
            <w:tcW w:w="1333" w:type="dxa"/>
            <w:noWrap/>
          </w:tcPr>
          <w:p w14:paraId="200DCFE5" w14:textId="506F2B76" w:rsidR="00A5004B" w:rsidRPr="00F25D05" w:rsidRDefault="00A5004B" w:rsidP="00A5004B">
            <w:pPr>
              <w:rPr>
                <w:b/>
                <w:bCs/>
              </w:rPr>
            </w:pPr>
            <w:r w:rsidRPr="00F25D05">
              <w:rPr>
                <w:b/>
                <w:bCs/>
              </w:rPr>
              <w:t>13</w:t>
            </w:r>
          </w:p>
        </w:tc>
      </w:tr>
      <w:tr w:rsidR="00A5004B" w:rsidRPr="00F25D05" w14:paraId="40A04514" w14:textId="77777777" w:rsidTr="00F25D05">
        <w:trPr>
          <w:trHeight w:val="290"/>
        </w:trPr>
        <w:tc>
          <w:tcPr>
            <w:tcW w:w="7683" w:type="dxa"/>
            <w:noWrap/>
            <w:hideMark/>
          </w:tcPr>
          <w:p w14:paraId="2BA966C7" w14:textId="77777777" w:rsidR="00A5004B" w:rsidRPr="00F25D05" w:rsidRDefault="00A5004B" w:rsidP="00A5004B">
            <w:pPr>
              <w:rPr>
                <w:b/>
                <w:bCs/>
              </w:rPr>
            </w:pPr>
            <w:r w:rsidRPr="00F25D05">
              <w:rPr>
                <w:b/>
                <w:bCs/>
              </w:rPr>
              <w:t xml:space="preserve">African, </w:t>
            </w:r>
            <w:proofErr w:type="gramStart"/>
            <w:r w:rsidRPr="00F25D05">
              <w:rPr>
                <w:b/>
                <w:bCs/>
              </w:rPr>
              <w:t>Caribbean</w:t>
            </w:r>
            <w:proofErr w:type="gramEnd"/>
            <w:r w:rsidRPr="00F25D05">
              <w:rPr>
                <w:b/>
                <w:bCs/>
              </w:rPr>
              <w:t xml:space="preserve"> or Black any other (Please specify)</w:t>
            </w:r>
          </w:p>
        </w:tc>
        <w:tc>
          <w:tcPr>
            <w:tcW w:w="1333" w:type="dxa"/>
            <w:noWrap/>
            <w:hideMark/>
          </w:tcPr>
          <w:p w14:paraId="1CD8B4E4" w14:textId="77777777" w:rsidR="00A5004B" w:rsidRPr="00F25D05" w:rsidRDefault="00A5004B" w:rsidP="00A5004B">
            <w:pPr>
              <w:rPr>
                <w:b/>
                <w:bCs/>
              </w:rPr>
            </w:pPr>
            <w:r w:rsidRPr="00F25D05">
              <w:rPr>
                <w:b/>
                <w:bCs/>
              </w:rPr>
              <w:t>6</w:t>
            </w:r>
          </w:p>
        </w:tc>
      </w:tr>
      <w:tr w:rsidR="00A5004B" w:rsidRPr="00F25D05" w14:paraId="156D0EA1" w14:textId="77777777" w:rsidTr="00F25D05">
        <w:trPr>
          <w:trHeight w:val="290"/>
        </w:trPr>
        <w:tc>
          <w:tcPr>
            <w:tcW w:w="7683" w:type="dxa"/>
            <w:noWrap/>
            <w:hideMark/>
          </w:tcPr>
          <w:p w14:paraId="5F86D739" w14:textId="77777777" w:rsidR="00A5004B" w:rsidRPr="00F25D05" w:rsidRDefault="00A5004B" w:rsidP="00A5004B">
            <w:pPr>
              <w:ind w:left="457"/>
            </w:pPr>
            <w:r w:rsidRPr="00F25D05">
              <w:t>South African</w:t>
            </w:r>
          </w:p>
        </w:tc>
        <w:tc>
          <w:tcPr>
            <w:tcW w:w="1333" w:type="dxa"/>
            <w:noWrap/>
            <w:hideMark/>
          </w:tcPr>
          <w:p w14:paraId="52FB8012" w14:textId="77777777" w:rsidR="00A5004B" w:rsidRPr="00F25D05" w:rsidRDefault="00A5004B" w:rsidP="00A5004B">
            <w:r w:rsidRPr="00F25D05">
              <w:t>1</w:t>
            </w:r>
          </w:p>
        </w:tc>
      </w:tr>
      <w:tr w:rsidR="00A5004B" w:rsidRPr="00F25D05" w14:paraId="15DEA795" w14:textId="77777777" w:rsidTr="00F25D05">
        <w:trPr>
          <w:trHeight w:val="290"/>
        </w:trPr>
        <w:tc>
          <w:tcPr>
            <w:tcW w:w="7683" w:type="dxa"/>
            <w:noWrap/>
            <w:hideMark/>
          </w:tcPr>
          <w:p w14:paraId="13D6F309" w14:textId="77777777" w:rsidR="00A5004B" w:rsidRPr="00F25D05" w:rsidRDefault="00A5004B" w:rsidP="00A5004B">
            <w:pPr>
              <w:ind w:left="457"/>
            </w:pPr>
            <w:r w:rsidRPr="00F25D05">
              <w:t>Spanish/Nigerian</w:t>
            </w:r>
          </w:p>
        </w:tc>
        <w:tc>
          <w:tcPr>
            <w:tcW w:w="1333" w:type="dxa"/>
            <w:noWrap/>
            <w:hideMark/>
          </w:tcPr>
          <w:p w14:paraId="38364AC1" w14:textId="77777777" w:rsidR="00A5004B" w:rsidRPr="00F25D05" w:rsidRDefault="00A5004B" w:rsidP="00A5004B">
            <w:r w:rsidRPr="00F25D05">
              <w:t>1</w:t>
            </w:r>
          </w:p>
        </w:tc>
      </w:tr>
      <w:tr w:rsidR="00A5004B" w:rsidRPr="00F25D05" w14:paraId="045B925B" w14:textId="77777777" w:rsidTr="00F25D05">
        <w:trPr>
          <w:trHeight w:val="290"/>
        </w:trPr>
        <w:tc>
          <w:tcPr>
            <w:tcW w:w="7683" w:type="dxa"/>
            <w:noWrap/>
            <w:hideMark/>
          </w:tcPr>
          <w:p w14:paraId="19CFADF6" w14:textId="77777777" w:rsidR="00A5004B" w:rsidRPr="00F25D05" w:rsidRDefault="00A5004B" w:rsidP="00A5004B">
            <w:pPr>
              <w:ind w:left="457"/>
            </w:pPr>
            <w:r w:rsidRPr="00F25D05">
              <w:t>(blank)</w:t>
            </w:r>
          </w:p>
        </w:tc>
        <w:tc>
          <w:tcPr>
            <w:tcW w:w="1333" w:type="dxa"/>
            <w:noWrap/>
            <w:hideMark/>
          </w:tcPr>
          <w:p w14:paraId="4F517DFF" w14:textId="77777777" w:rsidR="00A5004B" w:rsidRPr="00F25D05" w:rsidRDefault="00A5004B" w:rsidP="00A5004B">
            <w:r w:rsidRPr="00F25D05">
              <w:t>4</w:t>
            </w:r>
          </w:p>
        </w:tc>
      </w:tr>
      <w:tr w:rsidR="00A5004B" w:rsidRPr="00F25D05" w14:paraId="0163EE4E" w14:textId="77777777" w:rsidTr="00F25D05">
        <w:trPr>
          <w:trHeight w:val="290"/>
        </w:trPr>
        <w:tc>
          <w:tcPr>
            <w:tcW w:w="7683" w:type="dxa"/>
            <w:noWrap/>
            <w:hideMark/>
          </w:tcPr>
          <w:p w14:paraId="480A640E" w14:textId="77777777" w:rsidR="00A5004B" w:rsidRPr="00F25D05" w:rsidRDefault="00A5004B" w:rsidP="00A5004B">
            <w:pPr>
              <w:rPr>
                <w:b/>
                <w:bCs/>
              </w:rPr>
            </w:pPr>
            <w:r w:rsidRPr="00F25D05">
              <w:rPr>
                <w:b/>
                <w:bCs/>
              </w:rPr>
              <w:t>Arab</w:t>
            </w:r>
          </w:p>
        </w:tc>
        <w:tc>
          <w:tcPr>
            <w:tcW w:w="1333" w:type="dxa"/>
            <w:noWrap/>
            <w:hideMark/>
          </w:tcPr>
          <w:p w14:paraId="51AD535D" w14:textId="77777777" w:rsidR="00A5004B" w:rsidRPr="00F25D05" w:rsidRDefault="00A5004B" w:rsidP="00A5004B">
            <w:pPr>
              <w:rPr>
                <w:b/>
                <w:bCs/>
              </w:rPr>
            </w:pPr>
            <w:r w:rsidRPr="00F25D05">
              <w:rPr>
                <w:b/>
                <w:bCs/>
              </w:rPr>
              <w:t>6</w:t>
            </w:r>
          </w:p>
        </w:tc>
      </w:tr>
      <w:tr w:rsidR="00A5004B" w:rsidRPr="00F25D05" w14:paraId="1D0EFA9C" w14:textId="77777777" w:rsidTr="00F25D05">
        <w:trPr>
          <w:trHeight w:val="290"/>
        </w:trPr>
        <w:tc>
          <w:tcPr>
            <w:tcW w:w="7683" w:type="dxa"/>
            <w:noWrap/>
            <w:hideMark/>
          </w:tcPr>
          <w:p w14:paraId="10FCB8F9" w14:textId="77777777" w:rsidR="00A5004B" w:rsidRPr="00F25D05" w:rsidRDefault="00A5004B" w:rsidP="00A5004B">
            <w:pPr>
              <w:rPr>
                <w:b/>
                <w:bCs/>
              </w:rPr>
            </w:pPr>
            <w:r w:rsidRPr="00F25D05">
              <w:rPr>
                <w:b/>
                <w:bCs/>
              </w:rPr>
              <w:t>Asian Bangladeshi</w:t>
            </w:r>
          </w:p>
        </w:tc>
        <w:tc>
          <w:tcPr>
            <w:tcW w:w="1333" w:type="dxa"/>
            <w:noWrap/>
            <w:hideMark/>
          </w:tcPr>
          <w:p w14:paraId="4A50E932" w14:textId="77777777" w:rsidR="00A5004B" w:rsidRPr="00F25D05" w:rsidRDefault="00A5004B" w:rsidP="00A5004B">
            <w:pPr>
              <w:rPr>
                <w:b/>
                <w:bCs/>
              </w:rPr>
            </w:pPr>
            <w:r w:rsidRPr="00F25D05">
              <w:rPr>
                <w:b/>
                <w:bCs/>
              </w:rPr>
              <w:t>1</w:t>
            </w:r>
          </w:p>
        </w:tc>
      </w:tr>
      <w:tr w:rsidR="00A5004B" w:rsidRPr="00F25D05" w14:paraId="0AC78867" w14:textId="77777777" w:rsidTr="00F25D05">
        <w:trPr>
          <w:trHeight w:val="290"/>
        </w:trPr>
        <w:tc>
          <w:tcPr>
            <w:tcW w:w="7683" w:type="dxa"/>
            <w:noWrap/>
            <w:hideMark/>
          </w:tcPr>
          <w:p w14:paraId="45E157B5" w14:textId="77777777" w:rsidR="00A5004B" w:rsidRPr="00F25D05" w:rsidRDefault="00A5004B" w:rsidP="00A5004B">
            <w:pPr>
              <w:rPr>
                <w:b/>
                <w:bCs/>
              </w:rPr>
            </w:pPr>
            <w:r w:rsidRPr="00F25D05">
              <w:rPr>
                <w:b/>
                <w:bCs/>
              </w:rPr>
              <w:t>Asian Chinese</w:t>
            </w:r>
          </w:p>
        </w:tc>
        <w:tc>
          <w:tcPr>
            <w:tcW w:w="1333" w:type="dxa"/>
            <w:noWrap/>
            <w:hideMark/>
          </w:tcPr>
          <w:p w14:paraId="70EE8DEC" w14:textId="77777777" w:rsidR="00A5004B" w:rsidRPr="00F25D05" w:rsidRDefault="00A5004B" w:rsidP="00A5004B">
            <w:pPr>
              <w:rPr>
                <w:b/>
                <w:bCs/>
              </w:rPr>
            </w:pPr>
            <w:r w:rsidRPr="00F25D05">
              <w:rPr>
                <w:b/>
                <w:bCs/>
              </w:rPr>
              <w:t>2</w:t>
            </w:r>
          </w:p>
        </w:tc>
      </w:tr>
      <w:tr w:rsidR="00A5004B" w:rsidRPr="00F25D05" w14:paraId="11506AA1" w14:textId="77777777" w:rsidTr="00F25D05">
        <w:trPr>
          <w:trHeight w:val="290"/>
        </w:trPr>
        <w:tc>
          <w:tcPr>
            <w:tcW w:w="7683" w:type="dxa"/>
            <w:noWrap/>
            <w:hideMark/>
          </w:tcPr>
          <w:p w14:paraId="0E6A3342" w14:textId="77777777" w:rsidR="00A5004B" w:rsidRPr="00F25D05" w:rsidRDefault="00A5004B" w:rsidP="00A5004B">
            <w:pPr>
              <w:rPr>
                <w:b/>
                <w:bCs/>
              </w:rPr>
            </w:pPr>
            <w:r w:rsidRPr="00F25D05">
              <w:rPr>
                <w:b/>
                <w:bCs/>
              </w:rPr>
              <w:t>Asian Indian</w:t>
            </w:r>
          </w:p>
        </w:tc>
        <w:tc>
          <w:tcPr>
            <w:tcW w:w="1333" w:type="dxa"/>
            <w:noWrap/>
            <w:hideMark/>
          </w:tcPr>
          <w:p w14:paraId="1B3D14B7" w14:textId="77777777" w:rsidR="00A5004B" w:rsidRPr="00F25D05" w:rsidRDefault="00A5004B" w:rsidP="00A5004B">
            <w:pPr>
              <w:rPr>
                <w:b/>
                <w:bCs/>
              </w:rPr>
            </w:pPr>
            <w:r w:rsidRPr="00F25D05">
              <w:rPr>
                <w:b/>
                <w:bCs/>
              </w:rPr>
              <w:t>12</w:t>
            </w:r>
          </w:p>
        </w:tc>
      </w:tr>
      <w:tr w:rsidR="00A5004B" w:rsidRPr="00F25D05" w14:paraId="10ACF2AF" w14:textId="77777777" w:rsidTr="00F25D05">
        <w:trPr>
          <w:trHeight w:val="290"/>
        </w:trPr>
        <w:tc>
          <w:tcPr>
            <w:tcW w:w="7683" w:type="dxa"/>
            <w:noWrap/>
            <w:hideMark/>
          </w:tcPr>
          <w:p w14:paraId="5A385CA2" w14:textId="77777777" w:rsidR="00A5004B" w:rsidRPr="00F25D05" w:rsidRDefault="00A5004B" w:rsidP="00A5004B">
            <w:pPr>
              <w:rPr>
                <w:b/>
                <w:bCs/>
              </w:rPr>
            </w:pPr>
            <w:r w:rsidRPr="00F25D05">
              <w:rPr>
                <w:b/>
                <w:bCs/>
              </w:rPr>
              <w:t>Asian other (Please specify)</w:t>
            </w:r>
          </w:p>
        </w:tc>
        <w:tc>
          <w:tcPr>
            <w:tcW w:w="1333" w:type="dxa"/>
            <w:noWrap/>
            <w:hideMark/>
          </w:tcPr>
          <w:p w14:paraId="3F468D71" w14:textId="77777777" w:rsidR="00A5004B" w:rsidRPr="00F25D05" w:rsidRDefault="00A5004B" w:rsidP="00A5004B">
            <w:pPr>
              <w:rPr>
                <w:b/>
                <w:bCs/>
              </w:rPr>
            </w:pPr>
            <w:r w:rsidRPr="00F25D05">
              <w:rPr>
                <w:b/>
                <w:bCs/>
              </w:rPr>
              <w:t>5</w:t>
            </w:r>
          </w:p>
        </w:tc>
      </w:tr>
      <w:tr w:rsidR="00A5004B" w:rsidRPr="00F25D05" w14:paraId="7470CBE4" w14:textId="77777777" w:rsidTr="00F25D05">
        <w:trPr>
          <w:trHeight w:val="290"/>
        </w:trPr>
        <w:tc>
          <w:tcPr>
            <w:tcW w:w="7683" w:type="dxa"/>
            <w:noWrap/>
            <w:hideMark/>
          </w:tcPr>
          <w:p w14:paraId="55E6D3C1" w14:textId="77777777" w:rsidR="00A5004B" w:rsidRPr="00F25D05" w:rsidRDefault="00A5004B" w:rsidP="00A5004B">
            <w:pPr>
              <w:ind w:left="457"/>
            </w:pPr>
            <w:r w:rsidRPr="00F25D05">
              <w:t>Vietnamese</w:t>
            </w:r>
          </w:p>
        </w:tc>
        <w:tc>
          <w:tcPr>
            <w:tcW w:w="1333" w:type="dxa"/>
            <w:noWrap/>
            <w:hideMark/>
          </w:tcPr>
          <w:p w14:paraId="13566516" w14:textId="77777777" w:rsidR="00A5004B" w:rsidRPr="00F25D05" w:rsidRDefault="00A5004B" w:rsidP="00A5004B">
            <w:r w:rsidRPr="00F25D05">
              <w:t>4</w:t>
            </w:r>
          </w:p>
        </w:tc>
      </w:tr>
      <w:tr w:rsidR="00A5004B" w:rsidRPr="00F25D05" w14:paraId="70411827" w14:textId="77777777" w:rsidTr="00F25D05">
        <w:trPr>
          <w:trHeight w:val="290"/>
        </w:trPr>
        <w:tc>
          <w:tcPr>
            <w:tcW w:w="7683" w:type="dxa"/>
            <w:noWrap/>
            <w:hideMark/>
          </w:tcPr>
          <w:p w14:paraId="264ACDEF" w14:textId="77777777" w:rsidR="00A5004B" w:rsidRPr="00F25D05" w:rsidRDefault="00A5004B" w:rsidP="00A5004B">
            <w:pPr>
              <w:ind w:left="457"/>
            </w:pPr>
            <w:r w:rsidRPr="00F25D05">
              <w:t>(blank)</w:t>
            </w:r>
          </w:p>
        </w:tc>
        <w:tc>
          <w:tcPr>
            <w:tcW w:w="1333" w:type="dxa"/>
            <w:noWrap/>
            <w:hideMark/>
          </w:tcPr>
          <w:p w14:paraId="1ECB1714" w14:textId="77777777" w:rsidR="00A5004B" w:rsidRPr="00F25D05" w:rsidRDefault="00A5004B" w:rsidP="00A5004B">
            <w:r w:rsidRPr="00F25D05">
              <w:t>1</w:t>
            </w:r>
          </w:p>
        </w:tc>
      </w:tr>
      <w:tr w:rsidR="00A5004B" w:rsidRPr="00F25D05" w14:paraId="603B5C5D" w14:textId="77777777" w:rsidTr="00F25D05">
        <w:trPr>
          <w:trHeight w:val="290"/>
        </w:trPr>
        <w:tc>
          <w:tcPr>
            <w:tcW w:w="7683" w:type="dxa"/>
            <w:noWrap/>
            <w:hideMark/>
          </w:tcPr>
          <w:p w14:paraId="0C4891B9" w14:textId="77777777" w:rsidR="00A5004B" w:rsidRPr="00F25D05" w:rsidRDefault="00A5004B" w:rsidP="00A5004B">
            <w:pPr>
              <w:rPr>
                <w:b/>
                <w:bCs/>
              </w:rPr>
            </w:pPr>
            <w:r w:rsidRPr="00F25D05">
              <w:rPr>
                <w:b/>
                <w:bCs/>
              </w:rPr>
              <w:t>Asian Pakistani</w:t>
            </w:r>
          </w:p>
        </w:tc>
        <w:tc>
          <w:tcPr>
            <w:tcW w:w="1333" w:type="dxa"/>
            <w:noWrap/>
            <w:hideMark/>
          </w:tcPr>
          <w:p w14:paraId="570B1BEE" w14:textId="77777777" w:rsidR="00A5004B" w:rsidRPr="00F25D05" w:rsidRDefault="00A5004B" w:rsidP="00A5004B">
            <w:pPr>
              <w:rPr>
                <w:b/>
                <w:bCs/>
              </w:rPr>
            </w:pPr>
            <w:r w:rsidRPr="00F25D05">
              <w:rPr>
                <w:b/>
                <w:bCs/>
              </w:rPr>
              <w:t>4</w:t>
            </w:r>
          </w:p>
        </w:tc>
      </w:tr>
      <w:tr w:rsidR="00A5004B" w:rsidRPr="00F25D05" w14:paraId="0362F759" w14:textId="77777777" w:rsidTr="00F25D05">
        <w:trPr>
          <w:trHeight w:val="290"/>
        </w:trPr>
        <w:tc>
          <w:tcPr>
            <w:tcW w:w="7683" w:type="dxa"/>
            <w:noWrap/>
            <w:hideMark/>
          </w:tcPr>
          <w:p w14:paraId="796D1748" w14:textId="77777777" w:rsidR="00A5004B" w:rsidRPr="00F25D05" w:rsidRDefault="00A5004B" w:rsidP="00A5004B">
            <w:pPr>
              <w:rPr>
                <w:b/>
                <w:bCs/>
              </w:rPr>
            </w:pPr>
            <w:r w:rsidRPr="00F25D05">
              <w:rPr>
                <w:b/>
                <w:bCs/>
              </w:rPr>
              <w:t>Mixed or multiple ethnic groups (Please specify)</w:t>
            </w:r>
          </w:p>
        </w:tc>
        <w:tc>
          <w:tcPr>
            <w:tcW w:w="1333" w:type="dxa"/>
            <w:noWrap/>
            <w:hideMark/>
          </w:tcPr>
          <w:p w14:paraId="69231ED6" w14:textId="77777777" w:rsidR="00A5004B" w:rsidRPr="00F25D05" w:rsidRDefault="00A5004B" w:rsidP="00A5004B">
            <w:pPr>
              <w:rPr>
                <w:b/>
                <w:bCs/>
              </w:rPr>
            </w:pPr>
            <w:r w:rsidRPr="00F25D05">
              <w:rPr>
                <w:b/>
                <w:bCs/>
              </w:rPr>
              <w:t>1</w:t>
            </w:r>
          </w:p>
        </w:tc>
      </w:tr>
      <w:tr w:rsidR="00A5004B" w:rsidRPr="00F25D05" w14:paraId="52E4A1B4" w14:textId="77777777" w:rsidTr="00F25D05">
        <w:trPr>
          <w:trHeight w:val="290"/>
        </w:trPr>
        <w:tc>
          <w:tcPr>
            <w:tcW w:w="7683" w:type="dxa"/>
            <w:noWrap/>
            <w:hideMark/>
          </w:tcPr>
          <w:p w14:paraId="06B7D1A0" w14:textId="77777777" w:rsidR="00A5004B" w:rsidRPr="00F25D05" w:rsidRDefault="00A5004B" w:rsidP="00A5004B">
            <w:pPr>
              <w:ind w:firstLine="457"/>
            </w:pPr>
            <w:r w:rsidRPr="00F25D05">
              <w:t>White Asian</w:t>
            </w:r>
          </w:p>
        </w:tc>
        <w:tc>
          <w:tcPr>
            <w:tcW w:w="1333" w:type="dxa"/>
            <w:noWrap/>
            <w:hideMark/>
          </w:tcPr>
          <w:p w14:paraId="54F194C1" w14:textId="77777777" w:rsidR="00A5004B" w:rsidRPr="00F25D05" w:rsidRDefault="00A5004B" w:rsidP="00A5004B">
            <w:r w:rsidRPr="00F25D05">
              <w:t>1</w:t>
            </w:r>
          </w:p>
        </w:tc>
      </w:tr>
      <w:tr w:rsidR="00A5004B" w:rsidRPr="00F25D05" w14:paraId="3A05DDA5" w14:textId="77777777" w:rsidTr="00F25D05">
        <w:trPr>
          <w:trHeight w:val="290"/>
        </w:trPr>
        <w:tc>
          <w:tcPr>
            <w:tcW w:w="7683" w:type="dxa"/>
            <w:noWrap/>
            <w:hideMark/>
          </w:tcPr>
          <w:p w14:paraId="281C5E51" w14:textId="77777777" w:rsidR="00A5004B" w:rsidRPr="00F25D05" w:rsidRDefault="00A5004B" w:rsidP="00A5004B">
            <w:pPr>
              <w:rPr>
                <w:b/>
                <w:bCs/>
              </w:rPr>
            </w:pPr>
            <w:r w:rsidRPr="00F25D05">
              <w:rPr>
                <w:b/>
                <w:bCs/>
              </w:rPr>
              <w:t>Not Known</w:t>
            </w:r>
          </w:p>
        </w:tc>
        <w:tc>
          <w:tcPr>
            <w:tcW w:w="1333" w:type="dxa"/>
            <w:noWrap/>
            <w:hideMark/>
          </w:tcPr>
          <w:p w14:paraId="635B20CA" w14:textId="77777777" w:rsidR="00A5004B" w:rsidRPr="00F25D05" w:rsidRDefault="00A5004B" w:rsidP="00A5004B">
            <w:pPr>
              <w:rPr>
                <w:b/>
                <w:bCs/>
              </w:rPr>
            </w:pPr>
            <w:r w:rsidRPr="00F25D05">
              <w:rPr>
                <w:b/>
                <w:bCs/>
              </w:rPr>
              <w:t>1</w:t>
            </w:r>
          </w:p>
        </w:tc>
      </w:tr>
      <w:tr w:rsidR="00A5004B" w:rsidRPr="00F25D05" w14:paraId="7949A364" w14:textId="77777777" w:rsidTr="00F25D05">
        <w:trPr>
          <w:trHeight w:val="290"/>
        </w:trPr>
        <w:tc>
          <w:tcPr>
            <w:tcW w:w="7683" w:type="dxa"/>
            <w:noWrap/>
            <w:hideMark/>
          </w:tcPr>
          <w:p w14:paraId="2DAAEB0C" w14:textId="77777777" w:rsidR="00A5004B" w:rsidRPr="00F25D05" w:rsidRDefault="00A5004B" w:rsidP="00A5004B">
            <w:pPr>
              <w:rPr>
                <w:b/>
                <w:bCs/>
              </w:rPr>
            </w:pPr>
            <w:proofErr w:type="gramStart"/>
            <w:r w:rsidRPr="00F25D05">
              <w:rPr>
                <w:b/>
                <w:bCs/>
              </w:rPr>
              <w:t>Other</w:t>
            </w:r>
            <w:proofErr w:type="gramEnd"/>
            <w:r w:rsidRPr="00F25D05">
              <w:rPr>
                <w:b/>
                <w:bCs/>
              </w:rPr>
              <w:t xml:space="preserve"> ethnic group (Please specify)</w:t>
            </w:r>
          </w:p>
        </w:tc>
        <w:tc>
          <w:tcPr>
            <w:tcW w:w="1333" w:type="dxa"/>
            <w:noWrap/>
            <w:hideMark/>
          </w:tcPr>
          <w:p w14:paraId="1107F4DE" w14:textId="77777777" w:rsidR="00A5004B" w:rsidRPr="00F25D05" w:rsidRDefault="00A5004B" w:rsidP="00A5004B">
            <w:pPr>
              <w:rPr>
                <w:b/>
                <w:bCs/>
              </w:rPr>
            </w:pPr>
            <w:r w:rsidRPr="00F25D05">
              <w:rPr>
                <w:b/>
                <w:bCs/>
              </w:rPr>
              <w:t>5</w:t>
            </w:r>
          </w:p>
        </w:tc>
      </w:tr>
      <w:tr w:rsidR="00A5004B" w:rsidRPr="00F25D05" w14:paraId="24E38BC4" w14:textId="77777777" w:rsidTr="00F25D05">
        <w:trPr>
          <w:trHeight w:val="290"/>
        </w:trPr>
        <w:tc>
          <w:tcPr>
            <w:tcW w:w="7683" w:type="dxa"/>
            <w:noWrap/>
            <w:hideMark/>
          </w:tcPr>
          <w:p w14:paraId="190E1CC1" w14:textId="77777777" w:rsidR="00A5004B" w:rsidRPr="00F25D05" w:rsidRDefault="00A5004B" w:rsidP="00A5004B">
            <w:pPr>
              <w:ind w:firstLine="457"/>
            </w:pPr>
            <w:r w:rsidRPr="00F25D05">
              <w:t>Algerian</w:t>
            </w:r>
          </w:p>
        </w:tc>
        <w:tc>
          <w:tcPr>
            <w:tcW w:w="1333" w:type="dxa"/>
            <w:noWrap/>
            <w:hideMark/>
          </w:tcPr>
          <w:p w14:paraId="4D71E178" w14:textId="77777777" w:rsidR="00A5004B" w:rsidRPr="00F25D05" w:rsidRDefault="00A5004B" w:rsidP="00A5004B">
            <w:r w:rsidRPr="00F25D05">
              <w:t>1</w:t>
            </w:r>
          </w:p>
        </w:tc>
      </w:tr>
      <w:tr w:rsidR="00A5004B" w:rsidRPr="00F25D05" w14:paraId="18FAEDB9" w14:textId="77777777" w:rsidTr="00F25D05">
        <w:trPr>
          <w:trHeight w:val="290"/>
        </w:trPr>
        <w:tc>
          <w:tcPr>
            <w:tcW w:w="7683" w:type="dxa"/>
            <w:noWrap/>
            <w:hideMark/>
          </w:tcPr>
          <w:p w14:paraId="4875A982" w14:textId="77777777" w:rsidR="00A5004B" w:rsidRPr="00F25D05" w:rsidRDefault="00A5004B" w:rsidP="00A5004B">
            <w:pPr>
              <w:ind w:firstLine="457"/>
            </w:pPr>
            <w:r w:rsidRPr="00F25D05">
              <w:t>British Chinese</w:t>
            </w:r>
          </w:p>
        </w:tc>
        <w:tc>
          <w:tcPr>
            <w:tcW w:w="1333" w:type="dxa"/>
            <w:noWrap/>
            <w:hideMark/>
          </w:tcPr>
          <w:p w14:paraId="64F4A8C1" w14:textId="77777777" w:rsidR="00A5004B" w:rsidRPr="00F25D05" w:rsidRDefault="00A5004B" w:rsidP="00A5004B">
            <w:r w:rsidRPr="00F25D05">
              <w:t>1</w:t>
            </w:r>
          </w:p>
        </w:tc>
      </w:tr>
      <w:tr w:rsidR="00A5004B" w:rsidRPr="00F25D05" w14:paraId="6A7AB769" w14:textId="77777777" w:rsidTr="00F25D05">
        <w:trPr>
          <w:trHeight w:val="290"/>
        </w:trPr>
        <w:tc>
          <w:tcPr>
            <w:tcW w:w="7683" w:type="dxa"/>
            <w:noWrap/>
            <w:hideMark/>
          </w:tcPr>
          <w:p w14:paraId="6D7EA47A" w14:textId="46775CE8" w:rsidR="00A5004B" w:rsidRPr="00F25D05" w:rsidRDefault="00A5004B" w:rsidP="00A5004B">
            <w:pPr>
              <w:ind w:firstLine="457"/>
            </w:pPr>
            <w:r>
              <w:t>E</w:t>
            </w:r>
            <w:r w:rsidRPr="00F25D05">
              <w:t>uropean</w:t>
            </w:r>
          </w:p>
        </w:tc>
        <w:tc>
          <w:tcPr>
            <w:tcW w:w="1333" w:type="dxa"/>
            <w:noWrap/>
            <w:hideMark/>
          </w:tcPr>
          <w:p w14:paraId="2E78C718" w14:textId="77777777" w:rsidR="00A5004B" w:rsidRPr="00F25D05" w:rsidRDefault="00A5004B" w:rsidP="00A5004B">
            <w:r w:rsidRPr="00F25D05">
              <w:t>1</w:t>
            </w:r>
          </w:p>
        </w:tc>
      </w:tr>
      <w:tr w:rsidR="00A5004B" w:rsidRPr="00F25D05" w14:paraId="3115F6C5" w14:textId="77777777" w:rsidTr="00F25D05">
        <w:trPr>
          <w:trHeight w:val="290"/>
        </w:trPr>
        <w:tc>
          <w:tcPr>
            <w:tcW w:w="7683" w:type="dxa"/>
            <w:noWrap/>
            <w:hideMark/>
          </w:tcPr>
          <w:p w14:paraId="00DB333B" w14:textId="77777777" w:rsidR="00A5004B" w:rsidRPr="00F25D05" w:rsidRDefault="00A5004B" w:rsidP="00A5004B">
            <w:pPr>
              <w:ind w:firstLine="457"/>
            </w:pPr>
            <w:r w:rsidRPr="00F25D05">
              <w:t>Kurdish</w:t>
            </w:r>
          </w:p>
        </w:tc>
        <w:tc>
          <w:tcPr>
            <w:tcW w:w="1333" w:type="dxa"/>
            <w:noWrap/>
            <w:hideMark/>
          </w:tcPr>
          <w:p w14:paraId="74490A1D" w14:textId="77777777" w:rsidR="00A5004B" w:rsidRPr="00F25D05" w:rsidRDefault="00A5004B" w:rsidP="00A5004B">
            <w:r w:rsidRPr="00F25D05">
              <w:t>1</w:t>
            </w:r>
          </w:p>
        </w:tc>
      </w:tr>
      <w:tr w:rsidR="00A5004B" w:rsidRPr="00F25D05" w14:paraId="24D4E1B6" w14:textId="77777777" w:rsidTr="00F25D05">
        <w:trPr>
          <w:trHeight w:val="290"/>
        </w:trPr>
        <w:tc>
          <w:tcPr>
            <w:tcW w:w="7683" w:type="dxa"/>
            <w:noWrap/>
            <w:hideMark/>
          </w:tcPr>
          <w:p w14:paraId="32A8A8BA" w14:textId="77777777" w:rsidR="00A5004B" w:rsidRPr="00F25D05" w:rsidRDefault="00A5004B" w:rsidP="00A5004B">
            <w:pPr>
              <w:ind w:firstLine="457"/>
            </w:pPr>
            <w:r w:rsidRPr="00F25D05">
              <w:t>(blank)</w:t>
            </w:r>
          </w:p>
        </w:tc>
        <w:tc>
          <w:tcPr>
            <w:tcW w:w="1333" w:type="dxa"/>
            <w:noWrap/>
            <w:hideMark/>
          </w:tcPr>
          <w:p w14:paraId="0B5DB427" w14:textId="77777777" w:rsidR="00A5004B" w:rsidRPr="00F25D05" w:rsidRDefault="00A5004B" w:rsidP="00A5004B">
            <w:r w:rsidRPr="00F25D05">
              <w:t>1</w:t>
            </w:r>
          </w:p>
        </w:tc>
      </w:tr>
      <w:tr w:rsidR="00A5004B" w:rsidRPr="00F25D05" w14:paraId="451B8C1C" w14:textId="77777777" w:rsidTr="00F25D05">
        <w:trPr>
          <w:trHeight w:val="290"/>
        </w:trPr>
        <w:tc>
          <w:tcPr>
            <w:tcW w:w="7683" w:type="dxa"/>
            <w:noWrap/>
            <w:hideMark/>
          </w:tcPr>
          <w:p w14:paraId="15E3B6AC" w14:textId="77777777" w:rsidR="00A5004B" w:rsidRPr="00F25D05" w:rsidRDefault="00A5004B" w:rsidP="00A5004B">
            <w:pPr>
              <w:rPr>
                <w:b/>
                <w:bCs/>
              </w:rPr>
            </w:pPr>
            <w:r w:rsidRPr="00F25D05">
              <w:rPr>
                <w:b/>
                <w:bCs/>
              </w:rPr>
              <w:t>White any other (Please specify)</w:t>
            </w:r>
          </w:p>
        </w:tc>
        <w:tc>
          <w:tcPr>
            <w:tcW w:w="1333" w:type="dxa"/>
            <w:noWrap/>
            <w:hideMark/>
          </w:tcPr>
          <w:p w14:paraId="5BE396C3" w14:textId="77777777" w:rsidR="00A5004B" w:rsidRPr="00F25D05" w:rsidRDefault="00A5004B" w:rsidP="00A5004B">
            <w:pPr>
              <w:rPr>
                <w:b/>
                <w:bCs/>
              </w:rPr>
            </w:pPr>
            <w:r w:rsidRPr="00F25D05">
              <w:rPr>
                <w:b/>
                <w:bCs/>
              </w:rPr>
              <w:t>33</w:t>
            </w:r>
          </w:p>
        </w:tc>
      </w:tr>
      <w:tr w:rsidR="00A5004B" w:rsidRPr="00F25D05" w14:paraId="56F9E2A1" w14:textId="77777777" w:rsidTr="00F25D05">
        <w:trPr>
          <w:trHeight w:val="290"/>
        </w:trPr>
        <w:tc>
          <w:tcPr>
            <w:tcW w:w="7683" w:type="dxa"/>
            <w:noWrap/>
            <w:hideMark/>
          </w:tcPr>
          <w:p w14:paraId="4CDADCC5" w14:textId="77777777" w:rsidR="00A5004B" w:rsidRPr="00F25D05" w:rsidRDefault="00A5004B" w:rsidP="00A5004B">
            <w:pPr>
              <w:ind w:firstLine="457"/>
            </w:pPr>
            <w:r w:rsidRPr="00F25D05">
              <w:t>German</w:t>
            </w:r>
          </w:p>
        </w:tc>
        <w:tc>
          <w:tcPr>
            <w:tcW w:w="1333" w:type="dxa"/>
            <w:noWrap/>
            <w:hideMark/>
          </w:tcPr>
          <w:p w14:paraId="0354602A" w14:textId="77777777" w:rsidR="00A5004B" w:rsidRPr="00F25D05" w:rsidRDefault="00A5004B" w:rsidP="00A5004B">
            <w:r w:rsidRPr="00F25D05">
              <w:t>1</w:t>
            </w:r>
          </w:p>
        </w:tc>
      </w:tr>
      <w:tr w:rsidR="00A5004B" w:rsidRPr="00F25D05" w14:paraId="52F8381D" w14:textId="77777777" w:rsidTr="00F25D05">
        <w:trPr>
          <w:trHeight w:val="290"/>
        </w:trPr>
        <w:tc>
          <w:tcPr>
            <w:tcW w:w="7683" w:type="dxa"/>
            <w:noWrap/>
            <w:hideMark/>
          </w:tcPr>
          <w:p w14:paraId="4B781D3F" w14:textId="77777777" w:rsidR="00A5004B" w:rsidRPr="00F25D05" w:rsidRDefault="00A5004B" w:rsidP="00A5004B">
            <w:pPr>
              <w:ind w:firstLine="457"/>
            </w:pPr>
            <w:r w:rsidRPr="00F25D05">
              <w:t>Greek</w:t>
            </w:r>
          </w:p>
        </w:tc>
        <w:tc>
          <w:tcPr>
            <w:tcW w:w="1333" w:type="dxa"/>
            <w:noWrap/>
            <w:hideMark/>
          </w:tcPr>
          <w:p w14:paraId="5A06D3CD" w14:textId="77777777" w:rsidR="00A5004B" w:rsidRPr="00F25D05" w:rsidRDefault="00A5004B" w:rsidP="00A5004B">
            <w:r w:rsidRPr="00F25D05">
              <w:t>1</w:t>
            </w:r>
          </w:p>
        </w:tc>
      </w:tr>
      <w:tr w:rsidR="00A5004B" w:rsidRPr="00F25D05" w14:paraId="29F7D6EC" w14:textId="77777777" w:rsidTr="00F25D05">
        <w:trPr>
          <w:trHeight w:val="290"/>
        </w:trPr>
        <w:tc>
          <w:tcPr>
            <w:tcW w:w="7683" w:type="dxa"/>
            <w:noWrap/>
            <w:hideMark/>
          </w:tcPr>
          <w:p w14:paraId="178D85CE" w14:textId="77777777" w:rsidR="00A5004B" w:rsidRPr="00F25D05" w:rsidRDefault="00A5004B" w:rsidP="00A5004B">
            <w:pPr>
              <w:ind w:firstLine="457"/>
            </w:pPr>
            <w:r w:rsidRPr="00F25D05">
              <w:t>Romanian</w:t>
            </w:r>
          </w:p>
        </w:tc>
        <w:tc>
          <w:tcPr>
            <w:tcW w:w="1333" w:type="dxa"/>
            <w:noWrap/>
            <w:hideMark/>
          </w:tcPr>
          <w:p w14:paraId="2B52FE70" w14:textId="77777777" w:rsidR="00A5004B" w:rsidRPr="00F25D05" w:rsidRDefault="00A5004B" w:rsidP="00A5004B">
            <w:r w:rsidRPr="00F25D05">
              <w:t>1</w:t>
            </w:r>
          </w:p>
        </w:tc>
      </w:tr>
      <w:tr w:rsidR="00A5004B" w:rsidRPr="00F25D05" w14:paraId="49E59E96" w14:textId="77777777" w:rsidTr="00F25D05">
        <w:trPr>
          <w:trHeight w:val="290"/>
        </w:trPr>
        <w:tc>
          <w:tcPr>
            <w:tcW w:w="7683" w:type="dxa"/>
            <w:noWrap/>
            <w:hideMark/>
          </w:tcPr>
          <w:p w14:paraId="23FCD31C" w14:textId="77777777" w:rsidR="00A5004B" w:rsidRPr="00F25D05" w:rsidRDefault="00A5004B" w:rsidP="00A5004B">
            <w:pPr>
              <w:ind w:firstLine="457"/>
            </w:pPr>
            <w:r w:rsidRPr="00F25D05">
              <w:t>(blank)</w:t>
            </w:r>
          </w:p>
        </w:tc>
        <w:tc>
          <w:tcPr>
            <w:tcW w:w="1333" w:type="dxa"/>
            <w:noWrap/>
            <w:hideMark/>
          </w:tcPr>
          <w:p w14:paraId="353B9591" w14:textId="77777777" w:rsidR="00A5004B" w:rsidRPr="00F25D05" w:rsidRDefault="00A5004B" w:rsidP="00A5004B">
            <w:r w:rsidRPr="00F25D05">
              <w:t>30</w:t>
            </w:r>
          </w:p>
        </w:tc>
      </w:tr>
      <w:tr w:rsidR="00A5004B" w:rsidRPr="00F25D05" w14:paraId="180D0922" w14:textId="77777777" w:rsidTr="00F25D05">
        <w:trPr>
          <w:trHeight w:val="290"/>
        </w:trPr>
        <w:tc>
          <w:tcPr>
            <w:tcW w:w="7683" w:type="dxa"/>
            <w:noWrap/>
            <w:hideMark/>
          </w:tcPr>
          <w:p w14:paraId="0901C234" w14:textId="77777777" w:rsidR="00A5004B" w:rsidRPr="00F25D05" w:rsidRDefault="00A5004B" w:rsidP="00A5004B">
            <w:pPr>
              <w:rPr>
                <w:b/>
                <w:bCs/>
              </w:rPr>
            </w:pPr>
            <w:r w:rsidRPr="00F25D05">
              <w:rPr>
                <w:b/>
                <w:bCs/>
              </w:rPr>
              <w:t>White British</w:t>
            </w:r>
          </w:p>
        </w:tc>
        <w:tc>
          <w:tcPr>
            <w:tcW w:w="1333" w:type="dxa"/>
            <w:noWrap/>
            <w:hideMark/>
          </w:tcPr>
          <w:p w14:paraId="2383F2F9" w14:textId="77777777" w:rsidR="00A5004B" w:rsidRPr="00F25D05" w:rsidRDefault="00A5004B" w:rsidP="00A5004B">
            <w:pPr>
              <w:rPr>
                <w:b/>
                <w:bCs/>
              </w:rPr>
            </w:pPr>
            <w:r w:rsidRPr="00F25D05">
              <w:rPr>
                <w:b/>
                <w:bCs/>
              </w:rPr>
              <w:t>1</w:t>
            </w:r>
          </w:p>
        </w:tc>
      </w:tr>
      <w:tr w:rsidR="00A5004B" w:rsidRPr="00F25D05" w14:paraId="1DFFECBB" w14:textId="77777777" w:rsidTr="00A5004B">
        <w:trPr>
          <w:trHeight w:val="50"/>
        </w:trPr>
        <w:tc>
          <w:tcPr>
            <w:tcW w:w="7683" w:type="dxa"/>
            <w:noWrap/>
            <w:hideMark/>
          </w:tcPr>
          <w:p w14:paraId="7A0F1AC3" w14:textId="77777777" w:rsidR="00A5004B" w:rsidRPr="00F25D05" w:rsidRDefault="00A5004B" w:rsidP="00A5004B">
            <w:pPr>
              <w:rPr>
                <w:b/>
                <w:bCs/>
              </w:rPr>
            </w:pPr>
            <w:r w:rsidRPr="00F25D05">
              <w:rPr>
                <w:b/>
                <w:bCs/>
              </w:rPr>
              <w:t>White Irish</w:t>
            </w:r>
          </w:p>
        </w:tc>
        <w:tc>
          <w:tcPr>
            <w:tcW w:w="1333" w:type="dxa"/>
            <w:noWrap/>
            <w:hideMark/>
          </w:tcPr>
          <w:p w14:paraId="30829E4E" w14:textId="77777777" w:rsidR="00A5004B" w:rsidRPr="00F25D05" w:rsidRDefault="00A5004B" w:rsidP="00A5004B">
            <w:pPr>
              <w:rPr>
                <w:b/>
                <w:bCs/>
              </w:rPr>
            </w:pPr>
            <w:r w:rsidRPr="00F25D05">
              <w:rPr>
                <w:b/>
                <w:bCs/>
              </w:rPr>
              <w:t>2</w:t>
            </w:r>
          </w:p>
        </w:tc>
      </w:tr>
      <w:tr w:rsidR="00A5004B" w:rsidRPr="00F25D05" w14:paraId="15E8D5BE" w14:textId="77777777" w:rsidTr="00F25D05">
        <w:trPr>
          <w:trHeight w:val="290"/>
        </w:trPr>
        <w:tc>
          <w:tcPr>
            <w:tcW w:w="7683" w:type="dxa"/>
            <w:noWrap/>
            <w:hideMark/>
          </w:tcPr>
          <w:p w14:paraId="3B25AB55" w14:textId="77777777" w:rsidR="00A5004B" w:rsidRPr="00F25D05" w:rsidRDefault="00A5004B" w:rsidP="00A5004B">
            <w:pPr>
              <w:rPr>
                <w:b/>
                <w:bCs/>
              </w:rPr>
            </w:pPr>
            <w:r w:rsidRPr="00F25D05">
              <w:rPr>
                <w:b/>
                <w:bCs/>
              </w:rPr>
              <w:t>White Polish</w:t>
            </w:r>
          </w:p>
        </w:tc>
        <w:tc>
          <w:tcPr>
            <w:tcW w:w="1333" w:type="dxa"/>
            <w:noWrap/>
            <w:hideMark/>
          </w:tcPr>
          <w:p w14:paraId="2F2ABEDC" w14:textId="77777777" w:rsidR="00A5004B" w:rsidRPr="00F25D05" w:rsidRDefault="00A5004B" w:rsidP="00A5004B">
            <w:pPr>
              <w:rPr>
                <w:b/>
                <w:bCs/>
              </w:rPr>
            </w:pPr>
            <w:r w:rsidRPr="00F25D05">
              <w:rPr>
                <w:b/>
                <w:bCs/>
              </w:rPr>
              <w:t>17</w:t>
            </w:r>
          </w:p>
        </w:tc>
      </w:tr>
      <w:tr w:rsidR="00A5004B" w:rsidRPr="00F25D05" w14:paraId="7FFD461D" w14:textId="77777777" w:rsidTr="00F25D05">
        <w:trPr>
          <w:trHeight w:val="290"/>
        </w:trPr>
        <w:tc>
          <w:tcPr>
            <w:tcW w:w="7683" w:type="dxa"/>
            <w:noWrap/>
            <w:hideMark/>
          </w:tcPr>
          <w:p w14:paraId="212532F0" w14:textId="77777777" w:rsidR="00A5004B" w:rsidRPr="00F25D05" w:rsidRDefault="00A5004B" w:rsidP="00A5004B">
            <w:pPr>
              <w:rPr>
                <w:b/>
                <w:bCs/>
              </w:rPr>
            </w:pPr>
            <w:r w:rsidRPr="00F25D05">
              <w:rPr>
                <w:b/>
                <w:bCs/>
              </w:rPr>
              <w:t>Grand Total</w:t>
            </w:r>
          </w:p>
        </w:tc>
        <w:tc>
          <w:tcPr>
            <w:tcW w:w="1333" w:type="dxa"/>
            <w:noWrap/>
            <w:hideMark/>
          </w:tcPr>
          <w:p w14:paraId="2B1FDA0F" w14:textId="77777777" w:rsidR="00A5004B" w:rsidRPr="00F25D05" w:rsidRDefault="00A5004B" w:rsidP="00A5004B">
            <w:pPr>
              <w:rPr>
                <w:b/>
                <w:bCs/>
              </w:rPr>
            </w:pPr>
            <w:r w:rsidRPr="00F25D05">
              <w:rPr>
                <w:b/>
                <w:bCs/>
              </w:rPr>
              <w:t>109</w:t>
            </w:r>
          </w:p>
        </w:tc>
      </w:tr>
    </w:tbl>
    <w:p w14:paraId="20C84271" w14:textId="77777777" w:rsidR="00E930CD" w:rsidRDefault="00E930CD" w:rsidP="004B6397">
      <w:pPr>
        <w:pStyle w:val="Heading2"/>
      </w:pPr>
    </w:p>
    <w:p w14:paraId="2B0A4CCF" w14:textId="5E669753" w:rsidR="00E930CD" w:rsidRDefault="00E930CD" w:rsidP="004B6397">
      <w:pPr>
        <w:pStyle w:val="Heading2"/>
      </w:pPr>
      <w:r>
        <w:t xml:space="preserve">Services </w:t>
      </w:r>
    </w:p>
    <w:p w14:paraId="12AC69F3" w14:textId="3E7B29A8" w:rsidR="00E930CD" w:rsidRDefault="00E930CD" w:rsidP="00E9424E">
      <w:r>
        <w:t xml:space="preserve">The </w:t>
      </w:r>
      <w:proofErr w:type="gramStart"/>
      <w:r>
        <w:t>manner in which</w:t>
      </w:r>
      <w:proofErr w:type="gramEnd"/>
      <w:r>
        <w:t xml:space="preserve"> services have been delivered have altered </w:t>
      </w:r>
      <w:r w:rsidR="00E9424E">
        <w:t xml:space="preserve">dramatically. Figure 1 presents the total number of </w:t>
      </w:r>
      <w:r w:rsidR="00CF67CE">
        <w:t xml:space="preserve">sessions </w:t>
      </w:r>
      <w:r w:rsidR="00E9424E">
        <w:t>delivered in quarter 1 2018, 2019 and 2020</w:t>
      </w:r>
      <w:r w:rsidR="009200C6">
        <w:t xml:space="preserve">. </w:t>
      </w:r>
      <w:r w:rsidR="00260592">
        <w:t>Traditionally 1:1 face to face meetings between a client and caseworker whilst correspondence has been used more to reflect phone</w:t>
      </w:r>
      <w:r w:rsidR="00A06C75">
        <w:t xml:space="preserve"> calls, emails, etc. Over lock down social distancing has precluded </w:t>
      </w:r>
      <w:r w:rsidR="004303CF">
        <w:t>face to face meetings and caseworkers have carried out much of the support virtually. The increase in this support can be seen in the graphic below</w:t>
      </w:r>
      <w:r w:rsidR="0019172E">
        <w:t>.</w:t>
      </w:r>
    </w:p>
    <w:p w14:paraId="15B2F475" w14:textId="0D58EC32" w:rsidR="00D600CD" w:rsidRDefault="00D600CD" w:rsidP="00E9424E"/>
    <w:p w14:paraId="2769FCC7" w14:textId="015DC48F" w:rsidR="00D600CD" w:rsidRDefault="00D600CD" w:rsidP="00E9424E">
      <w:r>
        <w:rPr>
          <w:noProof/>
        </w:rPr>
        <w:drawing>
          <wp:inline distT="0" distB="0" distL="0" distR="0" wp14:anchorId="054A48C4" wp14:editId="7BB9986C">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062170" w14:textId="15F9F072" w:rsidR="007260F4" w:rsidRDefault="007260F4" w:rsidP="00E9424E"/>
    <w:p w14:paraId="3089F3CC" w14:textId="3AE99695" w:rsidR="0019172E" w:rsidRDefault="0019172E" w:rsidP="00E9424E">
      <w:r>
        <w:t xml:space="preserve">We can also see that there is still some group work </w:t>
      </w:r>
      <w:r w:rsidR="00106790">
        <w:t xml:space="preserve">delivered and looking at the notes this is using technology such as Zoom and Discord to </w:t>
      </w:r>
      <w:r w:rsidR="003974C9">
        <w:t xml:space="preserve">provide support in a more </w:t>
      </w:r>
      <w:r w:rsidR="00791979">
        <w:t xml:space="preserve">collective manner. </w:t>
      </w:r>
      <w:r w:rsidR="00A85B93">
        <w:t>What</w:t>
      </w:r>
      <w:r w:rsidR="00E2179B">
        <w:t xml:space="preserve"> i</w:t>
      </w:r>
      <w:r w:rsidR="00A85B93">
        <w:t xml:space="preserve">s clear from all of this is that the service support, whilst not </w:t>
      </w:r>
      <w:r w:rsidR="00E2179B">
        <w:t>being the same as the past has continued to be delivered.</w:t>
      </w:r>
      <w:r w:rsidR="00791979">
        <w:t xml:space="preserve"> </w:t>
      </w:r>
    </w:p>
    <w:p w14:paraId="229CF811" w14:textId="0797D64C" w:rsidR="007260F4" w:rsidRDefault="007260F4" w:rsidP="00E9424E"/>
    <w:p w14:paraId="27CB9B05" w14:textId="453162E9" w:rsidR="00DD4875" w:rsidRDefault="004B6397" w:rsidP="004B6397">
      <w:pPr>
        <w:pStyle w:val="Heading2"/>
      </w:pPr>
      <w:r>
        <w:t xml:space="preserve">Employment </w:t>
      </w:r>
    </w:p>
    <w:p w14:paraId="54303311" w14:textId="3AD4B850" w:rsidR="00F64589" w:rsidRDefault="00F64589">
      <w:r>
        <w:t>Although not a mandatory field</w:t>
      </w:r>
      <w:r w:rsidR="004B6397">
        <w:t>,</w:t>
      </w:r>
      <w:r>
        <w:t xml:space="preserve"> Caselink does allow for the clients to record the sectors of work that they would be interested in. </w:t>
      </w:r>
      <w:r w:rsidR="00F573EB">
        <w:t>Table 5 below highlights the results of this</w:t>
      </w:r>
      <w:r w:rsidR="00B4199E">
        <w:t xml:space="preserve"> a</w:t>
      </w:r>
      <w:r w:rsidR="00DD64F5">
        <w:t>s recorded for the new engagements in 2020. What we can see from this is that the sectors that people would like to work in</w:t>
      </w:r>
      <w:r w:rsidR="00112C00">
        <w:t xml:space="preserve"> tend to be those that have been some of the worst affected by lockdown.</w:t>
      </w:r>
    </w:p>
    <w:p w14:paraId="70C81EE6" w14:textId="38EED5FD" w:rsidR="00A13E10" w:rsidRDefault="00A13E10" w:rsidP="00CD5470">
      <w:pPr>
        <w:pStyle w:val="Heading3"/>
      </w:pPr>
      <w:r>
        <w:t xml:space="preserve">Table 5 Sector Client Interested in Working </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960"/>
        <w:gridCol w:w="1777"/>
        <w:gridCol w:w="2409"/>
      </w:tblGrid>
      <w:tr w:rsidR="00896937" w:rsidRPr="00A13E10" w14:paraId="4652ED00" w14:textId="63577342" w:rsidTr="00460820">
        <w:trPr>
          <w:trHeight w:val="290"/>
        </w:trPr>
        <w:tc>
          <w:tcPr>
            <w:tcW w:w="2220" w:type="dxa"/>
            <w:shd w:val="clear" w:color="auto" w:fill="auto"/>
            <w:noWrap/>
            <w:vAlign w:val="bottom"/>
            <w:hideMark/>
          </w:tcPr>
          <w:p w14:paraId="0BC93906" w14:textId="77777777" w:rsidR="00896937" w:rsidRPr="00A13E10" w:rsidRDefault="00896937" w:rsidP="00A13E10">
            <w:pPr>
              <w:spacing w:after="0" w:line="240" w:lineRule="auto"/>
              <w:rPr>
                <w:rFonts w:ascii="Times New Roman" w:eastAsia="Times New Roman" w:hAnsi="Times New Roman" w:cs="Times New Roman"/>
                <w:sz w:val="24"/>
                <w:szCs w:val="24"/>
                <w:lang w:eastAsia="en-GB"/>
              </w:rPr>
            </w:pPr>
          </w:p>
        </w:tc>
        <w:tc>
          <w:tcPr>
            <w:tcW w:w="960" w:type="dxa"/>
            <w:vAlign w:val="bottom"/>
          </w:tcPr>
          <w:p w14:paraId="006CAF99" w14:textId="3F9A47F4" w:rsidR="00896937" w:rsidRPr="00A13E10" w:rsidRDefault="00896937" w:rsidP="00A13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All</w:t>
            </w:r>
          </w:p>
        </w:tc>
        <w:tc>
          <w:tcPr>
            <w:tcW w:w="1777" w:type="dxa"/>
            <w:shd w:val="clear" w:color="auto" w:fill="auto"/>
            <w:noWrap/>
            <w:vAlign w:val="bottom"/>
          </w:tcPr>
          <w:p w14:paraId="419D4CDB" w14:textId="3C2EB453" w:rsidR="00896937" w:rsidRPr="00A13E10" w:rsidRDefault="00896937" w:rsidP="00A13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Pipeline Stage 4</w:t>
            </w:r>
          </w:p>
        </w:tc>
        <w:tc>
          <w:tcPr>
            <w:tcW w:w="2409" w:type="dxa"/>
            <w:tcBorders>
              <w:bottom w:val="single" w:sz="4" w:space="0" w:color="auto"/>
            </w:tcBorders>
          </w:tcPr>
          <w:p w14:paraId="2CED953A" w14:textId="6F10E39F" w:rsidR="00896937" w:rsidRDefault="00460820" w:rsidP="00A13E1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Proportion ‘Job Ready’</w:t>
            </w:r>
          </w:p>
        </w:tc>
      </w:tr>
      <w:tr w:rsidR="00460820" w:rsidRPr="00A13E10" w14:paraId="3A0DFDCD" w14:textId="5D1FB816" w:rsidTr="00460820">
        <w:trPr>
          <w:trHeight w:val="290"/>
        </w:trPr>
        <w:tc>
          <w:tcPr>
            <w:tcW w:w="2220" w:type="dxa"/>
            <w:shd w:val="clear" w:color="auto" w:fill="auto"/>
            <w:noWrap/>
            <w:vAlign w:val="bottom"/>
            <w:hideMark/>
          </w:tcPr>
          <w:p w14:paraId="765AE0C7"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Administration</w:t>
            </w:r>
          </w:p>
        </w:tc>
        <w:tc>
          <w:tcPr>
            <w:tcW w:w="960" w:type="dxa"/>
            <w:vAlign w:val="bottom"/>
          </w:tcPr>
          <w:p w14:paraId="4F705789" w14:textId="5D38C300"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38</w:t>
            </w:r>
          </w:p>
        </w:tc>
        <w:tc>
          <w:tcPr>
            <w:tcW w:w="1777" w:type="dxa"/>
            <w:shd w:val="clear" w:color="auto" w:fill="auto"/>
            <w:noWrap/>
            <w:vAlign w:val="bottom"/>
          </w:tcPr>
          <w:p w14:paraId="176E32F3" w14:textId="2CDC002F"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2409" w:type="dxa"/>
            <w:tcBorders>
              <w:top w:val="single" w:sz="4" w:space="0" w:color="auto"/>
              <w:left w:val="nil"/>
              <w:bottom w:val="single" w:sz="4" w:space="0" w:color="auto"/>
              <w:right w:val="single" w:sz="4" w:space="0" w:color="auto"/>
            </w:tcBorders>
            <w:shd w:val="clear" w:color="auto" w:fill="auto"/>
            <w:vAlign w:val="bottom"/>
          </w:tcPr>
          <w:p w14:paraId="24E61237" w14:textId="10F5FA48"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47%</w:t>
            </w:r>
          </w:p>
        </w:tc>
      </w:tr>
      <w:tr w:rsidR="00460820" w:rsidRPr="00A13E10" w14:paraId="7708F653" w14:textId="709DCFE9" w:rsidTr="00460820">
        <w:trPr>
          <w:trHeight w:val="290"/>
        </w:trPr>
        <w:tc>
          <w:tcPr>
            <w:tcW w:w="2220" w:type="dxa"/>
            <w:shd w:val="clear" w:color="auto" w:fill="auto"/>
            <w:noWrap/>
            <w:vAlign w:val="bottom"/>
            <w:hideMark/>
          </w:tcPr>
          <w:p w14:paraId="45CE6189"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Customer Service</w:t>
            </w:r>
          </w:p>
        </w:tc>
        <w:tc>
          <w:tcPr>
            <w:tcW w:w="960" w:type="dxa"/>
            <w:vAlign w:val="bottom"/>
          </w:tcPr>
          <w:p w14:paraId="67642F16" w14:textId="659DC957"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36</w:t>
            </w:r>
          </w:p>
        </w:tc>
        <w:tc>
          <w:tcPr>
            <w:tcW w:w="1777" w:type="dxa"/>
            <w:shd w:val="clear" w:color="auto" w:fill="auto"/>
            <w:noWrap/>
            <w:vAlign w:val="bottom"/>
          </w:tcPr>
          <w:p w14:paraId="1980AA3A" w14:textId="05F2E53E"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409" w:type="dxa"/>
            <w:tcBorders>
              <w:top w:val="single" w:sz="4" w:space="0" w:color="auto"/>
              <w:left w:val="nil"/>
              <w:bottom w:val="single" w:sz="4" w:space="0" w:color="auto"/>
              <w:right w:val="single" w:sz="4" w:space="0" w:color="auto"/>
            </w:tcBorders>
            <w:shd w:val="clear" w:color="auto" w:fill="auto"/>
            <w:vAlign w:val="bottom"/>
          </w:tcPr>
          <w:p w14:paraId="713E10F5" w14:textId="478F528E"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58%</w:t>
            </w:r>
          </w:p>
        </w:tc>
      </w:tr>
      <w:tr w:rsidR="00460820" w:rsidRPr="00A13E10" w14:paraId="5DFFBFAA" w14:textId="1093BFCD" w:rsidTr="00460820">
        <w:trPr>
          <w:trHeight w:val="290"/>
        </w:trPr>
        <w:tc>
          <w:tcPr>
            <w:tcW w:w="2220" w:type="dxa"/>
            <w:shd w:val="clear" w:color="auto" w:fill="auto"/>
            <w:noWrap/>
            <w:vAlign w:val="bottom"/>
            <w:hideMark/>
          </w:tcPr>
          <w:p w14:paraId="2DDEBDCC"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Retail</w:t>
            </w:r>
          </w:p>
        </w:tc>
        <w:tc>
          <w:tcPr>
            <w:tcW w:w="960" w:type="dxa"/>
            <w:vAlign w:val="bottom"/>
          </w:tcPr>
          <w:p w14:paraId="725D8995" w14:textId="7141EF7C"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31</w:t>
            </w:r>
          </w:p>
        </w:tc>
        <w:tc>
          <w:tcPr>
            <w:tcW w:w="1777" w:type="dxa"/>
            <w:shd w:val="clear" w:color="auto" w:fill="auto"/>
            <w:noWrap/>
            <w:vAlign w:val="bottom"/>
          </w:tcPr>
          <w:p w14:paraId="55240776" w14:textId="0D90BB2E"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22</w:t>
            </w:r>
          </w:p>
        </w:tc>
        <w:tc>
          <w:tcPr>
            <w:tcW w:w="2409" w:type="dxa"/>
            <w:tcBorders>
              <w:top w:val="single" w:sz="4" w:space="0" w:color="auto"/>
              <w:left w:val="nil"/>
              <w:bottom w:val="single" w:sz="4" w:space="0" w:color="auto"/>
              <w:right w:val="single" w:sz="4" w:space="0" w:color="auto"/>
            </w:tcBorders>
            <w:shd w:val="clear" w:color="auto" w:fill="auto"/>
            <w:vAlign w:val="bottom"/>
          </w:tcPr>
          <w:p w14:paraId="0F31E25C" w14:textId="605EE67A"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71%</w:t>
            </w:r>
          </w:p>
        </w:tc>
      </w:tr>
      <w:tr w:rsidR="00460820" w:rsidRPr="00A13E10" w14:paraId="1D7FF68D" w14:textId="585242DD" w:rsidTr="00460820">
        <w:trPr>
          <w:trHeight w:val="290"/>
        </w:trPr>
        <w:tc>
          <w:tcPr>
            <w:tcW w:w="2220" w:type="dxa"/>
            <w:shd w:val="clear" w:color="auto" w:fill="auto"/>
            <w:noWrap/>
            <w:vAlign w:val="bottom"/>
            <w:hideMark/>
          </w:tcPr>
          <w:p w14:paraId="3768C2D0"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Hospitality</w:t>
            </w:r>
          </w:p>
        </w:tc>
        <w:tc>
          <w:tcPr>
            <w:tcW w:w="960" w:type="dxa"/>
            <w:vAlign w:val="bottom"/>
          </w:tcPr>
          <w:p w14:paraId="3AC6A298" w14:textId="098D62EF"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29</w:t>
            </w:r>
          </w:p>
        </w:tc>
        <w:tc>
          <w:tcPr>
            <w:tcW w:w="1777" w:type="dxa"/>
            <w:shd w:val="clear" w:color="auto" w:fill="auto"/>
            <w:noWrap/>
            <w:vAlign w:val="bottom"/>
          </w:tcPr>
          <w:p w14:paraId="4906682C" w14:textId="5D9CA351"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2409" w:type="dxa"/>
            <w:tcBorders>
              <w:top w:val="single" w:sz="4" w:space="0" w:color="auto"/>
              <w:left w:val="nil"/>
              <w:bottom w:val="single" w:sz="4" w:space="0" w:color="auto"/>
              <w:right w:val="single" w:sz="4" w:space="0" w:color="auto"/>
            </w:tcBorders>
            <w:shd w:val="clear" w:color="auto" w:fill="auto"/>
            <w:vAlign w:val="bottom"/>
          </w:tcPr>
          <w:p w14:paraId="66DBECA7" w14:textId="33BCCECE"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55%</w:t>
            </w:r>
          </w:p>
        </w:tc>
      </w:tr>
      <w:tr w:rsidR="00460820" w:rsidRPr="00A13E10" w14:paraId="3F60097D" w14:textId="4D3F176C" w:rsidTr="00460820">
        <w:trPr>
          <w:trHeight w:val="50"/>
        </w:trPr>
        <w:tc>
          <w:tcPr>
            <w:tcW w:w="2220" w:type="dxa"/>
            <w:shd w:val="clear" w:color="auto" w:fill="auto"/>
            <w:noWrap/>
            <w:vAlign w:val="bottom"/>
            <w:hideMark/>
          </w:tcPr>
          <w:p w14:paraId="5122461B"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Cleaning</w:t>
            </w:r>
          </w:p>
        </w:tc>
        <w:tc>
          <w:tcPr>
            <w:tcW w:w="960" w:type="dxa"/>
            <w:vAlign w:val="bottom"/>
          </w:tcPr>
          <w:p w14:paraId="35E960F1" w14:textId="10191A1B"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27</w:t>
            </w:r>
          </w:p>
        </w:tc>
        <w:tc>
          <w:tcPr>
            <w:tcW w:w="1777" w:type="dxa"/>
            <w:shd w:val="clear" w:color="auto" w:fill="auto"/>
            <w:noWrap/>
            <w:vAlign w:val="bottom"/>
          </w:tcPr>
          <w:p w14:paraId="2AE84D35" w14:textId="6D86FE48"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2409" w:type="dxa"/>
            <w:tcBorders>
              <w:top w:val="single" w:sz="4" w:space="0" w:color="auto"/>
              <w:left w:val="nil"/>
              <w:bottom w:val="single" w:sz="4" w:space="0" w:color="auto"/>
              <w:right w:val="single" w:sz="4" w:space="0" w:color="auto"/>
            </w:tcBorders>
            <w:shd w:val="clear" w:color="auto" w:fill="auto"/>
            <w:vAlign w:val="bottom"/>
          </w:tcPr>
          <w:p w14:paraId="087270E4" w14:textId="6D5691AB"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52%</w:t>
            </w:r>
          </w:p>
        </w:tc>
      </w:tr>
      <w:tr w:rsidR="00460820" w:rsidRPr="00A13E10" w14:paraId="26A44565" w14:textId="723A9AA4" w:rsidTr="00460820">
        <w:trPr>
          <w:trHeight w:val="290"/>
        </w:trPr>
        <w:tc>
          <w:tcPr>
            <w:tcW w:w="2220" w:type="dxa"/>
            <w:shd w:val="clear" w:color="auto" w:fill="auto"/>
            <w:noWrap/>
            <w:vAlign w:val="bottom"/>
            <w:hideMark/>
          </w:tcPr>
          <w:p w14:paraId="6258D3BB"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Social Care</w:t>
            </w:r>
          </w:p>
        </w:tc>
        <w:tc>
          <w:tcPr>
            <w:tcW w:w="960" w:type="dxa"/>
            <w:vAlign w:val="bottom"/>
          </w:tcPr>
          <w:p w14:paraId="275FA188" w14:textId="2E0B48E3"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25</w:t>
            </w:r>
          </w:p>
        </w:tc>
        <w:tc>
          <w:tcPr>
            <w:tcW w:w="1777" w:type="dxa"/>
            <w:shd w:val="clear" w:color="auto" w:fill="auto"/>
            <w:noWrap/>
            <w:vAlign w:val="bottom"/>
          </w:tcPr>
          <w:p w14:paraId="04BF862D" w14:textId="23727FDD"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2409" w:type="dxa"/>
            <w:tcBorders>
              <w:top w:val="single" w:sz="4" w:space="0" w:color="auto"/>
              <w:left w:val="nil"/>
              <w:bottom w:val="single" w:sz="4" w:space="0" w:color="auto"/>
              <w:right w:val="single" w:sz="4" w:space="0" w:color="auto"/>
            </w:tcBorders>
            <w:shd w:val="clear" w:color="auto" w:fill="auto"/>
            <w:vAlign w:val="bottom"/>
          </w:tcPr>
          <w:p w14:paraId="4D4B834F" w14:textId="2D1F4F59"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64%</w:t>
            </w:r>
          </w:p>
        </w:tc>
      </w:tr>
      <w:tr w:rsidR="00460820" w:rsidRPr="00A13E10" w14:paraId="7214BBFF" w14:textId="6CB99598" w:rsidTr="00460820">
        <w:trPr>
          <w:trHeight w:val="290"/>
        </w:trPr>
        <w:tc>
          <w:tcPr>
            <w:tcW w:w="2220" w:type="dxa"/>
            <w:shd w:val="clear" w:color="auto" w:fill="auto"/>
            <w:noWrap/>
            <w:vAlign w:val="bottom"/>
            <w:hideMark/>
          </w:tcPr>
          <w:p w14:paraId="07070B10"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Construction</w:t>
            </w:r>
          </w:p>
        </w:tc>
        <w:tc>
          <w:tcPr>
            <w:tcW w:w="960" w:type="dxa"/>
            <w:vAlign w:val="bottom"/>
          </w:tcPr>
          <w:p w14:paraId="3EFFAB94" w14:textId="01F80675"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23</w:t>
            </w:r>
          </w:p>
        </w:tc>
        <w:tc>
          <w:tcPr>
            <w:tcW w:w="1777" w:type="dxa"/>
            <w:shd w:val="clear" w:color="auto" w:fill="auto"/>
            <w:noWrap/>
            <w:vAlign w:val="bottom"/>
          </w:tcPr>
          <w:p w14:paraId="34401059" w14:textId="678E96B7"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2409" w:type="dxa"/>
            <w:tcBorders>
              <w:top w:val="single" w:sz="4" w:space="0" w:color="auto"/>
              <w:left w:val="nil"/>
              <w:bottom w:val="single" w:sz="4" w:space="0" w:color="auto"/>
              <w:right w:val="single" w:sz="4" w:space="0" w:color="auto"/>
            </w:tcBorders>
            <w:shd w:val="clear" w:color="auto" w:fill="auto"/>
            <w:vAlign w:val="bottom"/>
          </w:tcPr>
          <w:p w14:paraId="26ACDC36" w14:textId="2533D77C"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57%</w:t>
            </w:r>
          </w:p>
        </w:tc>
      </w:tr>
      <w:tr w:rsidR="00460820" w:rsidRPr="00A13E10" w14:paraId="61AF4B8A" w14:textId="348F14A9" w:rsidTr="00460820">
        <w:trPr>
          <w:trHeight w:val="290"/>
        </w:trPr>
        <w:tc>
          <w:tcPr>
            <w:tcW w:w="2220" w:type="dxa"/>
            <w:shd w:val="clear" w:color="auto" w:fill="auto"/>
            <w:noWrap/>
            <w:vAlign w:val="bottom"/>
            <w:hideMark/>
          </w:tcPr>
          <w:p w14:paraId="3F55A8D2"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Catering</w:t>
            </w:r>
          </w:p>
        </w:tc>
        <w:tc>
          <w:tcPr>
            <w:tcW w:w="960" w:type="dxa"/>
            <w:vAlign w:val="bottom"/>
          </w:tcPr>
          <w:p w14:paraId="7B5C769A" w14:textId="14F7E9E7"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16</w:t>
            </w:r>
          </w:p>
        </w:tc>
        <w:tc>
          <w:tcPr>
            <w:tcW w:w="1777" w:type="dxa"/>
            <w:shd w:val="clear" w:color="auto" w:fill="auto"/>
            <w:noWrap/>
            <w:vAlign w:val="bottom"/>
          </w:tcPr>
          <w:p w14:paraId="543A619F" w14:textId="2274A044"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2409" w:type="dxa"/>
            <w:tcBorders>
              <w:top w:val="single" w:sz="4" w:space="0" w:color="auto"/>
              <w:left w:val="nil"/>
              <w:bottom w:val="single" w:sz="4" w:space="0" w:color="auto"/>
              <w:right w:val="single" w:sz="4" w:space="0" w:color="auto"/>
            </w:tcBorders>
            <w:shd w:val="clear" w:color="auto" w:fill="auto"/>
            <w:vAlign w:val="bottom"/>
          </w:tcPr>
          <w:p w14:paraId="701861B9" w14:textId="50DE74D5"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44%</w:t>
            </w:r>
          </w:p>
        </w:tc>
      </w:tr>
      <w:tr w:rsidR="00460820" w:rsidRPr="00A13E10" w14:paraId="09689657" w14:textId="18E057BF" w:rsidTr="00460820">
        <w:trPr>
          <w:trHeight w:val="290"/>
        </w:trPr>
        <w:tc>
          <w:tcPr>
            <w:tcW w:w="2220" w:type="dxa"/>
            <w:shd w:val="clear" w:color="auto" w:fill="auto"/>
            <w:noWrap/>
            <w:vAlign w:val="bottom"/>
            <w:hideMark/>
          </w:tcPr>
          <w:p w14:paraId="1CF1DB34" w14:textId="77777777" w:rsidR="00460820" w:rsidRPr="00A13E10" w:rsidRDefault="00460820" w:rsidP="00460820">
            <w:pPr>
              <w:spacing w:after="0" w:line="240" w:lineRule="auto"/>
              <w:rPr>
                <w:rFonts w:ascii="Calibri" w:eastAsia="Times New Roman" w:hAnsi="Calibri" w:cs="Calibri"/>
                <w:color w:val="000000"/>
                <w:lang w:eastAsia="en-GB"/>
              </w:rPr>
            </w:pPr>
            <w:r w:rsidRPr="00A13E10">
              <w:rPr>
                <w:rFonts w:ascii="Calibri" w:eastAsia="Times New Roman" w:hAnsi="Calibri" w:cs="Calibri"/>
                <w:color w:val="000000"/>
                <w:lang w:eastAsia="en-GB"/>
              </w:rPr>
              <w:t>Creative</w:t>
            </w:r>
          </w:p>
        </w:tc>
        <w:tc>
          <w:tcPr>
            <w:tcW w:w="960" w:type="dxa"/>
            <w:vAlign w:val="bottom"/>
          </w:tcPr>
          <w:p w14:paraId="76A49EFB" w14:textId="05D50289" w:rsidR="00460820" w:rsidRPr="00A13E10" w:rsidRDefault="00460820" w:rsidP="00460820">
            <w:pPr>
              <w:spacing w:after="0" w:line="240" w:lineRule="auto"/>
              <w:jc w:val="right"/>
              <w:rPr>
                <w:rFonts w:ascii="Calibri" w:eastAsia="Times New Roman" w:hAnsi="Calibri" w:cs="Calibri"/>
                <w:color w:val="000000"/>
                <w:lang w:eastAsia="en-GB"/>
              </w:rPr>
            </w:pPr>
            <w:r w:rsidRPr="00A13E10">
              <w:rPr>
                <w:rFonts w:ascii="Calibri" w:eastAsia="Times New Roman" w:hAnsi="Calibri" w:cs="Calibri"/>
                <w:color w:val="000000"/>
                <w:lang w:eastAsia="en-GB"/>
              </w:rPr>
              <w:t>14</w:t>
            </w:r>
          </w:p>
        </w:tc>
        <w:tc>
          <w:tcPr>
            <w:tcW w:w="1777" w:type="dxa"/>
            <w:shd w:val="clear" w:color="auto" w:fill="auto"/>
            <w:noWrap/>
            <w:vAlign w:val="bottom"/>
          </w:tcPr>
          <w:p w14:paraId="05732D37" w14:textId="096C3FA5" w:rsidR="00460820" w:rsidRPr="00A13E10" w:rsidRDefault="00460820" w:rsidP="00460820">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2409" w:type="dxa"/>
            <w:tcBorders>
              <w:top w:val="single" w:sz="4" w:space="0" w:color="auto"/>
              <w:left w:val="nil"/>
              <w:bottom w:val="single" w:sz="4" w:space="0" w:color="auto"/>
              <w:right w:val="single" w:sz="4" w:space="0" w:color="auto"/>
            </w:tcBorders>
            <w:shd w:val="clear" w:color="auto" w:fill="auto"/>
            <w:vAlign w:val="bottom"/>
          </w:tcPr>
          <w:p w14:paraId="7193090F" w14:textId="0134DF7B" w:rsidR="00460820" w:rsidRDefault="00460820" w:rsidP="00460820">
            <w:pPr>
              <w:spacing w:after="0" w:line="240" w:lineRule="auto"/>
              <w:jc w:val="right"/>
              <w:rPr>
                <w:rFonts w:ascii="Calibri" w:eastAsia="Times New Roman" w:hAnsi="Calibri" w:cs="Calibri"/>
                <w:color w:val="000000"/>
                <w:lang w:eastAsia="en-GB"/>
              </w:rPr>
            </w:pPr>
            <w:r>
              <w:rPr>
                <w:rFonts w:ascii="Calibri" w:hAnsi="Calibri" w:cs="Calibri"/>
                <w:color w:val="000000"/>
              </w:rPr>
              <w:t>50%</w:t>
            </w:r>
          </w:p>
        </w:tc>
      </w:tr>
    </w:tbl>
    <w:p w14:paraId="326383BA" w14:textId="40B5D7EC" w:rsidR="00A13E10" w:rsidRDefault="00CD5470">
      <w:r>
        <w:t>Source: Caselink</w:t>
      </w:r>
    </w:p>
    <w:p w14:paraId="1B294384" w14:textId="7982A911" w:rsidR="00CD5470" w:rsidRDefault="00CD5470">
      <w:r>
        <w:t xml:space="preserve">It can be seen from Table 5 that whilst </w:t>
      </w:r>
      <w:r w:rsidR="008C56FD">
        <w:t>38 clients had said they would be interested in an administration type of job only 18 of them</w:t>
      </w:r>
      <w:r w:rsidR="00460820">
        <w:t>, 47%,</w:t>
      </w:r>
      <w:r w:rsidR="008C56FD">
        <w:t xml:space="preserve"> were </w:t>
      </w:r>
      <w:r w:rsidR="00896937">
        <w:t>immediately job ready as they had been assessed as being at Stage 4</w:t>
      </w:r>
      <w:r w:rsidR="00896F10">
        <w:t xml:space="preserve">. The highest proportion who were job ready were those who were considering retail </w:t>
      </w:r>
      <w:r w:rsidR="0054134C">
        <w:t xml:space="preserve">careers. This may link to former retail workers who had been laid off due to closures and wished to return to that sector. </w:t>
      </w:r>
      <w:r w:rsidR="00232681">
        <w:t xml:space="preserve">In terms of the sectors in demand- health, social care and cleaning, we can see that 64% of those that had identified social care as a profession that they would wish to enter were job ready, 52% of those that would consider a cleaning </w:t>
      </w:r>
      <w:r w:rsidR="009010CF">
        <w:t xml:space="preserve">based job were at stage 4. As for health, there </w:t>
      </w:r>
      <w:proofErr w:type="gramStart"/>
      <w:r w:rsidR="009010CF">
        <w:t>weren’t</w:t>
      </w:r>
      <w:proofErr w:type="gramEnd"/>
      <w:r w:rsidR="009010CF">
        <w:t xml:space="preserve"> enough clients who identified </w:t>
      </w:r>
      <w:r w:rsidR="00A43432">
        <w:t xml:space="preserve">health as a chosen profession. </w:t>
      </w:r>
    </w:p>
    <w:p w14:paraId="249CE791" w14:textId="5FE556EE" w:rsidR="00B158E4" w:rsidRDefault="00B639E4">
      <w:r>
        <w:t>Table 6 below looks at the ou</w:t>
      </w:r>
      <w:r w:rsidR="00032B61">
        <w:t>t</w:t>
      </w:r>
      <w:r>
        <w:t xml:space="preserve">comes recorded each quarter. The first point to make is that this table is based on all outcomes </w:t>
      </w:r>
      <w:r w:rsidR="00032B61">
        <w:rPr>
          <w:i/>
          <w:iCs/>
        </w:rPr>
        <w:t>regardless</w:t>
      </w:r>
      <w:r w:rsidR="00032B61">
        <w:t xml:space="preserve"> of </w:t>
      </w:r>
      <w:proofErr w:type="gramStart"/>
      <w:r w:rsidR="00032B61">
        <w:t>whether or not</w:t>
      </w:r>
      <w:proofErr w:type="gramEnd"/>
      <w:r w:rsidR="00032B61">
        <w:t xml:space="preserve"> it has been verified. </w:t>
      </w:r>
      <w:r w:rsidR="005F782D">
        <w:t>This is to make sure that quarter to quarter changes are comparable</w:t>
      </w:r>
      <w:r w:rsidR="00E721A2">
        <w:t xml:space="preserve"> as it can often take some time to achieve verification evidence for an ou</w:t>
      </w:r>
      <w:r w:rsidR="007654E1">
        <w:t xml:space="preserve">tcome a situation that will only have worsened with the current restrictions. </w:t>
      </w:r>
      <w:r w:rsidR="005F782D">
        <w:t xml:space="preserve"> </w:t>
      </w:r>
    </w:p>
    <w:p w14:paraId="644D0F1D" w14:textId="35A73C95" w:rsidR="008067A4" w:rsidRDefault="008067A4">
      <w:r>
        <w:t>What is clear from Table 6 is that the number of outcomes being recorded on the system has fallen</w:t>
      </w:r>
      <w:r w:rsidR="009C5049">
        <w:t xml:space="preserve">. For Work Placements where in Edinburgh there would have been 54 in 2018 and </w:t>
      </w:r>
      <w:r w:rsidR="008A1959">
        <w:t xml:space="preserve">11 in 2019 there were none recorded in 2020. </w:t>
      </w:r>
      <w:r w:rsidR="00AF59B9">
        <w:t xml:space="preserve">Vocational training has fallen by 95% </w:t>
      </w:r>
      <w:r w:rsidR="000D60A9">
        <w:t xml:space="preserve">when 2020 is compared to 2019, part time jobs by </w:t>
      </w:r>
      <w:r w:rsidR="00C12516">
        <w:t xml:space="preserve">78% and </w:t>
      </w:r>
      <w:proofErr w:type="gramStart"/>
      <w:r w:rsidR="00C12516">
        <w:t>full time</w:t>
      </w:r>
      <w:proofErr w:type="gramEnd"/>
      <w:r w:rsidR="00C12516">
        <w:t xml:space="preserve"> jobs by 37%</w:t>
      </w:r>
    </w:p>
    <w:p w14:paraId="53E6B570" w14:textId="68249E9A" w:rsidR="008067A4" w:rsidRDefault="008067A4" w:rsidP="00C12516">
      <w:pPr>
        <w:pStyle w:val="Heading3"/>
      </w:pPr>
      <w:r>
        <w:t>Table 6 Outcomes Recorded on Caselink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9"/>
        <w:gridCol w:w="1133"/>
        <w:gridCol w:w="568"/>
        <w:gridCol w:w="1133"/>
        <w:gridCol w:w="568"/>
        <w:gridCol w:w="1134"/>
        <w:gridCol w:w="850"/>
        <w:gridCol w:w="1134"/>
      </w:tblGrid>
      <w:tr w:rsidR="00764312" w:rsidRPr="000636F6" w14:paraId="12B6C7F5" w14:textId="77777777" w:rsidTr="00423E11">
        <w:trPr>
          <w:trHeight w:val="290"/>
        </w:trPr>
        <w:tc>
          <w:tcPr>
            <w:tcW w:w="2547" w:type="dxa"/>
            <w:shd w:val="clear" w:color="auto" w:fill="auto"/>
            <w:noWrap/>
            <w:vAlign w:val="bottom"/>
            <w:hideMark/>
          </w:tcPr>
          <w:p w14:paraId="38FA9C59" w14:textId="77777777" w:rsidR="00764312" w:rsidRPr="000636F6" w:rsidRDefault="00764312" w:rsidP="000636F6">
            <w:pPr>
              <w:spacing w:after="0" w:line="240" w:lineRule="auto"/>
              <w:rPr>
                <w:rFonts w:ascii="Times New Roman" w:eastAsia="Times New Roman" w:hAnsi="Times New Roman" w:cs="Times New Roman"/>
                <w:sz w:val="24"/>
                <w:szCs w:val="24"/>
                <w:lang w:eastAsia="en-GB"/>
              </w:rPr>
            </w:pPr>
          </w:p>
        </w:tc>
        <w:tc>
          <w:tcPr>
            <w:tcW w:w="1842" w:type="dxa"/>
            <w:gridSpan w:val="2"/>
            <w:shd w:val="clear" w:color="auto" w:fill="auto"/>
            <w:noWrap/>
            <w:vAlign w:val="bottom"/>
            <w:hideMark/>
          </w:tcPr>
          <w:p w14:paraId="7C4E39A9" w14:textId="0BAE59BC" w:rsidR="00764312" w:rsidRPr="000636F6" w:rsidRDefault="00764312"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2018</w:t>
            </w:r>
          </w:p>
        </w:tc>
        <w:tc>
          <w:tcPr>
            <w:tcW w:w="1701" w:type="dxa"/>
            <w:gridSpan w:val="2"/>
            <w:shd w:val="clear" w:color="auto" w:fill="auto"/>
            <w:noWrap/>
            <w:vAlign w:val="bottom"/>
            <w:hideMark/>
          </w:tcPr>
          <w:p w14:paraId="0AB63DB7" w14:textId="3827DCCE" w:rsidR="00764312" w:rsidRPr="000636F6" w:rsidRDefault="00764312"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2019</w:t>
            </w:r>
          </w:p>
        </w:tc>
        <w:tc>
          <w:tcPr>
            <w:tcW w:w="1702" w:type="dxa"/>
            <w:gridSpan w:val="2"/>
            <w:shd w:val="clear" w:color="auto" w:fill="auto"/>
            <w:noWrap/>
            <w:vAlign w:val="bottom"/>
            <w:hideMark/>
          </w:tcPr>
          <w:p w14:paraId="6715B2CD" w14:textId="07EBE11E" w:rsidR="00764312" w:rsidRPr="000636F6" w:rsidRDefault="00764312"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2020</w:t>
            </w:r>
          </w:p>
        </w:tc>
        <w:tc>
          <w:tcPr>
            <w:tcW w:w="1984" w:type="dxa"/>
            <w:gridSpan w:val="2"/>
            <w:shd w:val="clear" w:color="auto" w:fill="auto"/>
            <w:noWrap/>
            <w:vAlign w:val="bottom"/>
            <w:hideMark/>
          </w:tcPr>
          <w:p w14:paraId="350B6F3A" w14:textId="6FC89556" w:rsidR="00764312" w:rsidRPr="000636F6" w:rsidRDefault="00764312"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Change</w:t>
            </w:r>
          </w:p>
        </w:tc>
      </w:tr>
      <w:tr w:rsidR="00764312" w:rsidRPr="000636F6" w14:paraId="1A320A80" w14:textId="77777777" w:rsidTr="00423E11">
        <w:trPr>
          <w:trHeight w:val="290"/>
        </w:trPr>
        <w:tc>
          <w:tcPr>
            <w:tcW w:w="2547" w:type="dxa"/>
            <w:shd w:val="clear" w:color="auto" w:fill="auto"/>
            <w:noWrap/>
            <w:vAlign w:val="bottom"/>
            <w:hideMark/>
          </w:tcPr>
          <w:p w14:paraId="0921CB36"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Row Labels</w:t>
            </w:r>
          </w:p>
        </w:tc>
        <w:tc>
          <w:tcPr>
            <w:tcW w:w="709" w:type="dxa"/>
            <w:shd w:val="clear" w:color="auto" w:fill="auto"/>
            <w:noWrap/>
            <w:vAlign w:val="bottom"/>
            <w:hideMark/>
          </w:tcPr>
          <w:p w14:paraId="707D9BD9"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All</w:t>
            </w:r>
          </w:p>
        </w:tc>
        <w:tc>
          <w:tcPr>
            <w:tcW w:w="1133" w:type="dxa"/>
            <w:shd w:val="clear" w:color="auto" w:fill="auto"/>
            <w:noWrap/>
            <w:vAlign w:val="bottom"/>
            <w:hideMark/>
          </w:tcPr>
          <w:p w14:paraId="1DD0CDBE"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Edinburgh</w:t>
            </w:r>
          </w:p>
        </w:tc>
        <w:tc>
          <w:tcPr>
            <w:tcW w:w="568" w:type="dxa"/>
            <w:shd w:val="clear" w:color="auto" w:fill="auto"/>
            <w:noWrap/>
            <w:vAlign w:val="bottom"/>
            <w:hideMark/>
          </w:tcPr>
          <w:p w14:paraId="6E71B9E1"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All</w:t>
            </w:r>
          </w:p>
        </w:tc>
        <w:tc>
          <w:tcPr>
            <w:tcW w:w="1133" w:type="dxa"/>
            <w:shd w:val="clear" w:color="auto" w:fill="auto"/>
            <w:noWrap/>
            <w:vAlign w:val="bottom"/>
            <w:hideMark/>
          </w:tcPr>
          <w:p w14:paraId="1BF4CDFF"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Edinburgh</w:t>
            </w:r>
          </w:p>
        </w:tc>
        <w:tc>
          <w:tcPr>
            <w:tcW w:w="568" w:type="dxa"/>
            <w:shd w:val="clear" w:color="auto" w:fill="auto"/>
            <w:noWrap/>
            <w:vAlign w:val="bottom"/>
            <w:hideMark/>
          </w:tcPr>
          <w:p w14:paraId="198F80C9"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All</w:t>
            </w:r>
          </w:p>
        </w:tc>
        <w:tc>
          <w:tcPr>
            <w:tcW w:w="1134" w:type="dxa"/>
            <w:shd w:val="clear" w:color="auto" w:fill="auto"/>
            <w:noWrap/>
            <w:vAlign w:val="bottom"/>
            <w:hideMark/>
          </w:tcPr>
          <w:p w14:paraId="314C6DFF"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Edinburgh</w:t>
            </w:r>
          </w:p>
        </w:tc>
        <w:tc>
          <w:tcPr>
            <w:tcW w:w="850" w:type="dxa"/>
            <w:shd w:val="clear" w:color="auto" w:fill="auto"/>
            <w:noWrap/>
            <w:vAlign w:val="bottom"/>
            <w:hideMark/>
          </w:tcPr>
          <w:p w14:paraId="5C249458"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All</w:t>
            </w:r>
          </w:p>
        </w:tc>
        <w:tc>
          <w:tcPr>
            <w:tcW w:w="1134" w:type="dxa"/>
            <w:shd w:val="clear" w:color="auto" w:fill="auto"/>
            <w:noWrap/>
            <w:vAlign w:val="bottom"/>
            <w:hideMark/>
          </w:tcPr>
          <w:p w14:paraId="025BE377"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Edinburgh</w:t>
            </w:r>
          </w:p>
        </w:tc>
      </w:tr>
      <w:tr w:rsidR="00764312" w:rsidRPr="000636F6" w14:paraId="0B9F9FE5" w14:textId="77777777" w:rsidTr="00423E11">
        <w:trPr>
          <w:trHeight w:val="290"/>
        </w:trPr>
        <w:tc>
          <w:tcPr>
            <w:tcW w:w="2547" w:type="dxa"/>
            <w:shd w:val="clear" w:color="auto" w:fill="auto"/>
            <w:noWrap/>
            <w:vAlign w:val="bottom"/>
            <w:hideMark/>
          </w:tcPr>
          <w:p w14:paraId="0CC981CF"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Employability Training</w:t>
            </w:r>
          </w:p>
        </w:tc>
        <w:tc>
          <w:tcPr>
            <w:tcW w:w="709" w:type="dxa"/>
            <w:shd w:val="clear" w:color="auto" w:fill="auto"/>
            <w:noWrap/>
            <w:vAlign w:val="bottom"/>
            <w:hideMark/>
          </w:tcPr>
          <w:p w14:paraId="29859A3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147</w:t>
            </w:r>
          </w:p>
        </w:tc>
        <w:tc>
          <w:tcPr>
            <w:tcW w:w="1133" w:type="dxa"/>
            <w:shd w:val="clear" w:color="auto" w:fill="auto"/>
            <w:noWrap/>
            <w:vAlign w:val="bottom"/>
            <w:hideMark/>
          </w:tcPr>
          <w:p w14:paraId="057B37A2"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131</w:t>
            </w:r>
          </w:p>
        </w:tc>
        <w:tc>
          <w:tcPr>
            <w:tcW w:w="568" w:type="dxa"/>
            <w:shd w:val="clear" w:color="auto" w:fill="auto"/>
            <w:noWrap/>
            <w:vAlign w:val="bottom"/>
            <w:hideMark/>
          </w:tcPr>
          <w:p w14:paraId="6312060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65</w:t>
            </w:r>
          </w:p>
        </w:tc>
        <w:tc>
          <w:tcPr>
            <w:tcW w:w="1133" w:type="dxa"/>
            <w:shd w:val="clear" w:color="auto" w:fill="auto"/>
            <w:noWrap/>
            <w:vAlign w:val="bottom"/>
            <w:hideMark/>
          </w:tcPr>
          <w:p w14:paraId="457E6C5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59</w:t>
            </w:r>
          </w:p>
        </w:tc>
        <w:tc>
          <w:tcPr>
            <w:tcW w:w="568" w:type="dxa"/>
            <w:shd w:val="clear" w:color="auto" w:fill="auto"/>
            <w:noWrap/>
            <w:vAlign w:val="bottom"/>
            <w:hideMark/>
          </w:tcPr>
          <w:p w14:paraId="1E0F6D72"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15</w:t>
            </w:r>
          </w:p>
        </w:tc>
        <w:tc>
          <w:tcPr>
            <w:tcW w:w="1134" w:type="dxa"/>
            <w:shd w:val="clear" w:color="auto" w:fill="auto"/>
            <w:noWrap/>
            <w:vAlign w:val="bottom"/>
            <w:hideMark/>
          </w:tcPr>
          <w:p w14:paraId="50E68375"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w:t>
            </w:r>
          </w:p>
        </w:tc>
        <w:tc>
          <w:tcPr>
            <w:tcW w:w="850" w:type="dxa"/>
            <w:shd w:val="clear" w:color="auto" w:fill="auto"/>
            <w:noWrap/>
            <w:vAlign w:val="bottom"/>
            <w:hideMark/>
          </w:tcPr>
          <w:p w14:paraId="364DFF9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-77%</w:t>
            </w:r>
          </w:p>
        </w:tc>
        <w:tc>
          <w:tcPr>
            <w:tcW w:w="1134" w:type="dxa"/>
            <w:shd w:val="clear" w:color="auto" w:fill="auto"/>
            <w:noWrap/>
            <w:vAlign w:val="bottom"/>
            <w:hideMark/>
          </w:tcPr>
          <w:p w14:paraId="69520BE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-86%</w:t>
            </w:r>
          </w:p>
        </w:tc>
      </w:tr>
      <w:tr w:rsidR="00764312" w:rsidRPr="000636F6" w14:paraId="47B166ED" w14:textId="77777777" w:rsidTr="00423E11">
        <w:trPr>
          <w:trHeight w:val="290"/>
        </w:trPr>
        <w:tc>
          <w:tcPr>
            <w:tcW w:w="2547" w:type="dxa"/>
            <w:shd w:val="clear" w:color="auto" w:fill="auto"/>
            <w:noWrap/>
            <w:vAlign w:val="bottom"/>
            <w:hideMark/>
          </w:tcPr>
          <w:p w14:paraId="05C5DB27"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In Work Progression</w:t>
            </w:r>
          </w:p>
        </w:tc>
        <w:tc>
          <w:tcPr>
            <w:tcW w:w="709" w:type="dxa"/>
            <w:shd w:val="clear" w:color="auto" w:fill="auto"/>
            <w:noWrap/>
            <w:vAlign w:val="bottom"/>
            <w:hideMark/>
          </w:tcPr>
          <w:p w14:paraId="12751B2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16</w:t>
            </w:r>
          </w:p>
        </w:tc>
        <w:tc>
          <w:tcPr>
            <w:tcW w:w="1133" w:type="dxa"/>
            <w:shd w:val="clear" w:color="auto" w:fill="auto"/>
            <w:noWrap/>
            <w:vAlign w:val="bottom"/>
            <w:hideMark/>
          </w:tcPr>
          <w:p w14:paraId="31A01CB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16</w:t>
            </w:r>
          </w:p>
        </w:tc>
        <w:tc>
          <w:tcPr>
            <w:tcW w:w="568" w:type="dxa"/>
            <w:shd w:val="clear" w:color="auto" w:fill="auto"/>
            <w:noWrap/>
            <w:vAlign w:val="bottom"/>
            <w:hideMark/>
          </w:tcPr>
          <w:p w14:paraId="667A2EA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1133" w:type="dxa"/>
            <w:shd w:val="clear" w:color="auto" w:fill="auto"/>
            <w:noWrap/>
            <w:vAlign w:val="bottom"/>
            <w:hideMark/>
          </w:tcPr>
          <w:p w14:paraId="785CDA3D"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568" w:type="dxa"/>
            <w:shd w:val="clear" w:color="auto" w:fill="auto"/>
            <w:noWrap/>
            <w:vAlign w:val="bottom"/>
            <w:hideMark/>
          </w:tcPr>
          <w:p w14:paraId="1D2D55F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1134" w:type="dxa"/>
            <w:shd w:val="clear" w:color="auto" w:fill="auto"/>
            <w:noWrap/>
            <w:vAlign w:val="bottom"/>
            <w:hideMark/>
          </w:tcPr>
          <w:p w14:paraId="6F48A04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850" w:type="dxa"/>
            <w:shd w:val="clear" w:color="auto" w:fill="auto"/>
            <w:noWrap/>
            <w:vAlign w:val="bottom"/>
            <w:hideMark/>
          </w:tcPr>
          <w:p w14:paraId="5038B32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c>
          <w:tcPr>
            <w:tcW w:w="1134" w:type="dxa"/>
            <w:shd w:val="clear" w:color="auto" w:fill="auto"/>
            <w:noWrap/>
            <w:vAlign w:val="bottom"/>
            <w:hideMark/>
          </w:tcPr>
          <w:p w14:paraId="2A3ED65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r>
      <w:tr w:rsidR="00764312" w:rsidRPr="000636F6" w14:paraId="2CB45672" w14:textId="77777777" w:rsidTr="00423E11">
        <w:trPr>
          <w:trHeight w:val="290"/>
        </w:trPr>
        <w:tc>
          <w:tcPr>
            <w:tcW w:w="2547" w:type="dxa"/>
            <w:shd w:val="clear" w:color="auto" w:fill="auto"/>
            <w:noWrap/>
            <w:vAlign w:val="bottom"/>
            <w:hideMark/>
          </w:tcPr>
          <w:p w14:paraId="7BC66916"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Job Entry Full Time</w:t>
            </w:r>
          </w:p>
        </w:tc>
        <w:tc>
          <w:tcPr>
            <w:tcW w:w="709" w:type="dxa"/>
            <w:shd w:val="clear" w:color="auto" w:fill="auto"/>
            <w:noWrap/>
            <w:vAlign w:val="bottom"/>
            <w:hideMark/>
          </w:tcPr>
          <w:p w14:paraId="05BA6CC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200</w:t>
            </w:r>
          </w:p>
        </w:tc>
        <w:tc>
          <w:tcPr>
            <w:tcW w:w="1133" w:type="dxa"/>
            <w:shd w:val="clear" w:color="auto" w:fill="auto"/>
            <w:noWrap/>
            <w:vAlign w:val="bottom"/>
            <w:hideMark/>
          </w:tcPr>
          <w:p w14:paraId="5BEBC47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184</w:t>
            </w:r>
          </w:p>
        </w:tc>
        <w:tc>
          <w:tcPr>
            <w:tcW w:w="568" w:type="dxa"/>
            <w:shd w:val="clear" w:color="auto" w:fill="auto"/>
            <w:noWrap/>
            <w:vAlign w:val="bottom"/>
            <w:hideMark/>
          </w:tcPr>
          <w:p w14:paraId="7EDCEF9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95</w:t>
            </w:r>
          </w:p>
        </w:tc>
        <w:tc>
          <w:tcPr>
            <w:tcW w:w="1133" w:type="dxa"/>
            <w:shd w:val="clear" w:color="auto" w:fill="auto"/>
            <w:noWrap/>
            <w:vAlign w:val="bottom"/>
            <w:hideMark/>
          </w:tcPr>
          <w:p w14:paraId="7CE0059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89</w:t>
            </w:r>
          </w:p>
        </w:tc>
        <w:tc>
          <w:tcPr>
            <w:tcW w:w="568" w:type="dxa"/>
            <w:shd w:val="clear" w:color="auto" w:fill="auto"/>
            <w:noWrap/>
            <w:vAlign w:val="bottom"/>
            <w:hideMark/>
          </w:tcPr>
          <w:p w14:paraId="394433D3"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57</w:t>
            </w:r>
          </w:p>
        </w:tc>
        <w:tc>
          <w:tcPr>
            <w:tcW w:w="1134" w:type="dxa"/>
            <w:shd w:val="clear" w:color="auto" w:fill="auto"/>
            <w:noWrap/>
            <w:vAlign w:val="bottom"/>
            <w:hideMark/>
          </w:tcPr>
          <w:p w14:paraId="0884ECC3"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56</w:t>
            </w:r>
          </w:p>
        </w:tc>
        <w:tc>
          <w:tcPr>
            <w:tcW w:w="850" w:type="dxa"/>
            <w:shd w:val="clear" w:color="auto" w:fill="auto"/>
            <w:noWrap/>
            <w:vAlign w:val="bottom"/>
            <w:hideMark/>
          </w:tcPr>
          <w:p w14:paraId="6E7BB6C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-40%</w:t>
            </w:r>
          </w:p>
        </w:tc>
        <w:tc>
          <w:tcPr>
            <w:tcW w:w="1134" w:type="dxa"/>
            <w:shd w:val="clear" w:color="auto" w:fill="auto"/>
            <w:noWrap/>
            <w:vAlign w:val="bottom"/>
            <w:hideMark/>
          </w:tcPr>
          <w:p w14:paraId="1B1FC42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-37%</w:t>
            </w:r>
          </w:p>
        </w:tc>
      </w:tr>
      <w:tr w:rsidR="00764312" w:rsidRPr="000636F6" w14:paraId="040B5FE5" w14:textId="77777777" w:rsidTr="00423E11">
        <w:trPr>
          <w:trHeight w:val="290"/>
        </w:trPr>
        <w:tc>
          <w:tcPr>
            <w:tcW w:w="2547" w:type="dxa"/>
            <w:shd w:val="clear" w:color="auto" w:fill="auto"/>
            <w:noWrap/>
            <w:vAlign w:val="bottom"/>
            <w:hideMark/>
          </w:tcPr>
          <w:p w14:paraId="1D652430"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Job Entry Part Time</w:t>
            </w:r>
          </w:p>
        </w:tc>
        <w:tc>
          <w:tcPr>
            <w:tcW w:w="709" w:type="dxa"/>
            <w:shd w:val="clear" w:color="auto" w:fill="auto"/>
            <w:noWrap/>
            <w:vAlign w:val="bottom"/>
            <w:hideMark/>
          </w:tcPr>
          <w:p w14:paraId="4C2A17E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65</w:t>
            </w:r>
          </w:p>
        </w:tc>
        <w:tc>
          <w:tcPr>
            <w:tcW w:w="1133" w:type="dxa"/>
            <w:shd w:val="clear" w:color="auto" w:fill="auto"/>
            <w:noWrap/>
            <w:vAlign w:val="bottom"/>
            <w:hideMark/>
          </w:tcPr>
          <w:p w14:paraId="05E50525"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51</w:t>
            </w:r>
          </w:p>
        </w:tc>
        <w:tc>
          <w:tcPr>
            <w:tcW w:w="568" w:type="dxa"/>
            <w:shd w:val="clear" w:color="auto" w:fill="auto"/>
            <w:noWrap/>
            <w:vAlign w:val="bottom"/>
            <w:hideMark/>
          </w:tcPr>
          <w:p w14:paraId="3E02FD5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43</w:t>
            </w:r>
          </w:p>
        </w:tc>
        <w:tc>
          <w:tcPr>
            <w:tcW w:w="1133" w:type="dxa"/>
            <w:shd w:val="clear" w:color="auto" w:fill="auto"/>
            <w:noWrap/>
            <w:vAlign w:val="bottom"/>
            <w:hideMark/>
          </w:tcPr>
          <w:p w14:paraId="13BD9C1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40</w:t>
            </w:r>
          </w:p>
        </w:tc>
        <w:tc>
          <w:tcPr>
            <w:tcW w:w="568" w:type="dxa"/>
            <w:shd w:val="clear" w:color="auto" w:fill="auto"/>
            <w:noWrap/>
            <w:vAlign w:val="bottom"/>
            <w:hideMark/>
          </w:tcPr>
          <w:p w14:paraId="6C1AF68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12</w:t>
            </w:r>
          </w:p>
        </w:tc>
        <w:tc>
          <w:tcPr>
            <w:tcW w:w="1134" w:type="dxa"/>
            <w:shd w:val="clear" w:color="auto" w:fill="auto"/>
            <w:noWrap/>
            <w:vAlign w:val="bottom"/>
            <w:hideMark/>
          </w:tcPr>
          <w:p w14:paraId="616F70E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w:t>
            </w:r>
          </w:p>
        </w:tc>
        <w:tc>
          <w:tcPr>
            <w:tcW w:w="850" w:type="dxa"/>
            <w:shd w:val="clear" w:color="auto" w:fill="auto"/>
            <w:noWrap/>
            <w:vAlign w:val="bottom"/>
            <w:hideMark/>
          </w:tcPr>
          <w:p w14:paraId="0B4B370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-72%</w:t>
            </w:r>
          </w:p>
        </w:tc>
        <w:tc>
          <w:tcPr>
            <w:tcW w:w="1134" w:type="dxa"/>
            <w:shd w:val="clear" w:color="auto" w:fill="auto"/>
            <w:noWrap/>
            <w:vAlign w:val="bottom"/>
            <w:hideMark/>
          </w:tcPr>
          <w:p w14:paraId="5F8B74C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-78%</w:t>
            </w:r>
          </w:p>
        </w:tc>
      </w:tr>
      <w:tr w:rsidR="00764312" w:rsidRPr="000636F6" w14:paraId="042B5E7E" w14:textId="77777777" w:rsidTr="00423E11">
        <w:trPr>
          <w:trHeight w:val="290"/>
        </w:trPr>
        <w:tc>
          <w:tcPr>
            <w:tcW w:w="2547" w:type="dxa"/>
            <w:shd w:val="clear" w:color="auto" w:fill="auto"/>
            <w:noWrap/>
            <w:vAlign w:val="bottom"/>
            <w:hideMark/>
          </w:tcPr>
          <w:p w14:paraId="436A7BC1" w14:textId="1729BBE2"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Activity Agreement</w:t>
            </w:r>
          </w:p>
        </w:tc>
        <w:tc>
          <w:tcPr>
            <w:tcW w:w="709" w:type="dxa"/>
            <w:shd w:val="clear" w:color="auto" w:fill="auto"/>
            <w:noWrap/>
            <w:vAlign w:val="bottom"/>
            <w:hideMark/>
          </w:tcPr>
          <w:p w14:paraId="671A715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45</w:t>
            </w:r>
          </w:p>
        </w:tc>
        <w:tc>
          <w:tcPr>
            <w:tcW w:w="1133" w:type="dxa"/>
            <w:shd w:val="clear" w:color="auto" w:fill="auto"/>
            <w:noWrap/>
            <w:vAlign w:val="bottom"/>
            <w:hideMark/>
          </w:tcPr>
          <w:p w14:paraId="7C7B8C8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40</w:t>
            </w:r>
          </w:p>
        </w:tc>
        <w:tc>
          <w:tcPr>
            <w:tcW w:w="568" w:type="dxa"/>
            <w:shd w:val="clear" w:color="auto" w:fill="auto"/>
            <w:noWrap/>
            <w:vAlign w:val="bottom"/>
            <w:hideMark/>
          </w:tcPr>
          <w:p w14:paraId="2ACAA9B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19</w:t>
            </w:r>
          </w:p>
        </w:tc>
        <w:tc>
          <w:tcPr>
            <w:tcW w:w="1133" w:type="dxa"/>
            <w:shd w:val="clear" w:color="auto" w:fill="auto"/>
            <w:noWrap/>
            <w:vAlign w:val="bottom"/>
            <w:hideMark/>
          </w:tcPr>
          <w:p w14:paraId="3BDD1AB5"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568" w:type="dxa"/>
            <w:shd w:val="clear" w:color="auto" w:fill="auto"/>
            <w:noWrap/>
            <w:vAlign w:val="bottom"/>
            <w:hideMark/>
          </w:tcPr>
          <w:p w14:paraId="2C56741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12</w:t>
            </w:r>
          </w:p>
        </w:tc>
        <w:tc>
          <w:tcPr>
            <w:tcW w:w="1134" w:type="dxa"/>
            <w:shd w:val="clear" w:color="auto" w:fill="auto"/>
            <w:noWrap/>
            <w:vAlign w:val="bottom"/>
            <w:hideMark/>
          </w:tcPr>
          <w:p w14:paraId="0BAF494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12</w:t>
            </w:r>
          </w:p>
        </w:tc>
        <w:tc>
          <w:tcPr>
            <w:tcW w:w="850" w:type="dxa"/>
            <w:shd w:val="clear" w:color="auto" w:fill="auto"/>
            <w:noWrap/>
            <w:vAlign w:val="bottom"/>
            <w:hideMark/>
          </w:tcPr>
          <w:p w14:paraId="5E9AFCD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-37%</w:t>
            </w:r>
          </w:p>
        </w:tc>
        <w:tc>
          <w:tcPr>
            <w:tcW w:w="1134" w:type="dxa"/>
            <w:shd w:val="clear" w:color="auto" w:fill="auto"/>
            <w:noWrap/>
            <w:vAlign w:val="bottom"/>
            <w:hideMark/>
          </w:tcPr>
          <w:p w14:paraId="7AE37C7A"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w:t>
            </w:r>
          </w:p>
        </w:tc>
      </w:tr>
      <w:tr w:rsidR="00764312" w:rsidRPr="000636F6" w14:paraId="7927CF80" w14:textId="77777777" w:rsidTr="00423E11">
        <w:trPr>
          <w:trHeight w:val="290"/>
        </w:trPr>
        <w:tc>
          <w:tcPr>
            <w:tcW w:w="2547" w:type="dxa"/>
            <w:shd w:val="clear" w:color="auto" w:fill="auto"/>
            <w:noWrap/>
            <w:vAlign w:val="bottom"/>
            <w:hideMark/>
          </w:tcPr>
          <w:p w14:paraId="0ED4B928" w14:textId="09FF896D"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Education Full-Time</w:t>
            </w:r>
          </w:p>
        </w:tc>
        <w:tc>
          <w:tcPr>
            <w:tcW w:w="709" w:type="dxa"/>
            <w:shd w:val="clear" w:color="auto" w:fill="auto"/>
            <w:noWrap/>
            <w:vAlign w:val="bottom"/>
            <w:hideMark/>
          </w:tcPr>
          <w:p w14:paraId="11CFDB8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16</w:t>
            </w:r>
          </w:p>
        </w:tc>
        <w:tc>
          <w:tcPr>
            <w:tcW w:w="1133" w:type="dxa"/>
            <w:shd w:val="clear" w:color="auto" w:fill="auto"/>
            <w:noWrap/>
            <w:vAlign w:val="bottom"/>
            <w:hideMark/>
          </w:tcPr>
          <w:p w14:paraId="6E263D2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16</w:t>
            </w:r>
          </w:p>
        </w:tc>
        <w:tc>
          <w:tcPr>
            <w:tcW w:w="568" w:type="dxa"/>
            <w:shd w:val="clear" w:color="auto" w:fill="auto"/>
            <w:noWrap/>
            <w:vAlign w:val="bottom"/>
            <w:hideMark/>
          </w:tcPr>
          <w:p w14:paraId="4C061E2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24</w:t>
            </w:r>
          </w:p>
        </w:tc>
        <w:tc>
          <w:tcPr>
            <w:tcW w:w="1133" w:type="dxa"/>
            <w:shd w:val="clear" w:color="auto" w:fill="auto"/>
            <w:noWrap/>
            <w:vAlign w:val="bottom"/>
            <w:hideMark/>
          </w:tcPr>
          <w:p w14:paraId="21C05F9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19</w:t>
            </w:r>
          </w:p>
        </w:tc>
        <w:tc>
          <w:tcPr>
            <w:tcW w:w="568" w:type="dxa"/>
            <w:shd w:val="clear" w:color="auto" w:fill="auto"/>
            <w:noWrap/>
            <w:vAlign w:val="bottom"/>
            <w:hideMark/>
          </w:tcPr>
          <w:p w14:paraId="6C20FDD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w:t>
            </w:r>
          </w:p>
        </w:tc>
        <w:tc>
          <w:tcPr>
            <w:tcW w:w="1134" w:type="dxa"/>
            <w:shd w:val="clear" w:color="auto" w:fill="auto"/>
            <w:noWrap/>
            <w:vAlign w:val="bottom"/>
            <w:hideMark/>
          </w:tcPr>
          <w:p w14:paraId="48B84D2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20</w:t>
            </w:r>
          </w:p>
        </w:tc>
        <w:tc>
          <w:tcPr>
            <w:tcW w:w="850" w:type="dxa"/>
            <w:shd w:val="clear" w:color="auto" w:fill="auto"/>
            <w:noWrap/>
            <w:vAlign w:val="bottom"/>
            <w:hideMark/>
          </w:tcPr>
          <w:p w14:paraId="61755FE2"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-17%</w:t>
            </w:r>
          </w:p>
        </w:tc>
        <w:tc>
          <w:tcPr>
            <w:tcW w:w="1134" w:type="dxa"/>
            <w:shd w:val="clear" w:color="auto" w:fill="auto"/>
            <w:noWrap/>
            <w:vAlign w:val="bottom"/>
            <w:hideMark/>
          </w:tcPr>
          <w:p w14:paraId="6EEC453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w:t>
            </w:r>
          </w:p>
        </w:tc>
      </w:tr>
      <w:tr w:rsidR="00764312" w:rsidRPr="000636F6" w14:paraId="3CB081DE" w14:textId="77777777" w:rsidTr="00423E11">
        <w:trPr>
          <w:trHeight w:val="290"/>
        </w:trPr>
        <w:tc>
          <w:tcPr>
            <w:tcW w:w="2547" w:type="dxa"/>
            <w:shd w:val="clear" w:color="auto" w:fill="auto"/>
            <w:noWrap/>
            <w:vAlign w:val="bottom"/>
            <w:hideMark/>
          </w:tcPr>
          <w:p w14:paraId="07506C32" w14:textId="0864AED2"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Education Part-Time</w:t>
            </w:r>
          </w:p>
        </w:tc>
        <w:tc>
          <w:tcPr>
            <w:tcW w:w="709" w:type="dxa"/>
            <w:shd w:val="clear" w:color="auto" w:fill="auto"/>
            <w:noWrap/>
            <w:vAlign w:val="bottom"/>
            <w:hideMark/>
          </w:tcPr>
          <w:p w14:paraId="3353760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w:t>
            </w:r>
          </w:p>
        </w:tc>
        <w:tc>
          <w:tcPr>
            <w:tcW w:w="1133" w:type="dxa"/>
            <w:shd w:val="clear" w:color="auto" w:fill="auto"/>
            <w:noWrap/>
            <w:vAlign w:val="bottom"/>
            <w:hideMark/>
          </w:tcPr>
          <w:p w14:paraId="23E3EFC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568" w:type="dxa"/>
            <w:shd w:val="clear" w:color="auto" w:fill="auto"/>
            <w:noWrap/>
            <w:vAlign w:val="bottom"/>
            <w:hideMark/>
          </w:tcPr>
          <w:p w14:paraId="7A720A6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w:t>
            </w:r>
          </w:p>
        </w:tc>
        <w:tc>
          <w:tcPr>
            <w:tcW w:w="1133" w:type="dxa"/>
            <w:shd w:val="clear" w:color="auto" w:fill="auto"/>
            <w:noWrap/>
            <w:vAlign w:val="bottom"/>
            <w:hideMark/>
          </w:tcPr>
          <w:p w14:paraId="0405968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w:t>
            </w:r>
          </w:p>
        </w:tc>
        <w:tc>
          <w:tcPr>
            <w:tcW w:w="568" w:type="dxa"/>
            <w:shd w:val="clear" w:color="auto" w:fill="auto"/>
            <w:noWrap/>
            <w:vAlign w:val="bottom"/>
            <w:hideMark/>
          </w:tcPr>
          <w:p w14:paraId="656C06EA"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1134" w:type="dxa"/>
            <w:shd w:val="clear" w:color="auto" w:fill="auto"/>
            <w:noWrap/>
            <w:vAlign w:val="bottom"/>
            <w:hideMark/>
          </w:tcPr>
          <w:p w14:paraId="7C522B5A"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850" w:type="dxa"/>
            <w:shd w:val="clear" w:color="auto" w:fill="auto"/>
            <w:noWrap/>
            <w:vAlign w:val="bottom"/>
            <w:hideMark/>
          </w:tcPr>
          <w:p w14:paraId="77560E8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-60%</w:t>
            </w:r>
          </w:p>
        </w:tc>
        <w:tc>
          <w:tcPr>
            <w:tcW w:w="1134" w:type="dxa"/>
            <w:shd w:val="clear" w:color="auto" w:fill="auto"/>
            <w:noWrap/>
            <w:vAlign w:val="bottom"/>
            <w:hideMark/>
          </w:tcPr>
          <w:p w14:paraId="3B796F52"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-60%</w:t>
            </w:r>
          </w:p>
        </w:tc>
      </w:tr>
      <w:tr w:rsidR="00764312" w:rsidRPr="000636F6" w14:paraId="404CECCB" w14:textId="77777777" w:rsidTr="00423E11">
        <w:trPr>
          <w:trHeight w:val="290"/>
        </w:trPr>
        <w:tc>
          <w:tcPr>
            <w:tcW w:w="2547" w:type="dxa"/>
            <w:shd w:val="clear" w:color="auto" w:fill="auto"/>
            <w:noWrap/>
            <w:vAlign w:val="bottom"/>
            <w:hideMark/>
          </w:tcPr>
          <w:p w14:paraId="5A72FCC3"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Progression: Other</w:t>
            </w:r>
          </w:p>
        </w:tc>
        <w:tc>
          <w:tcPr>
            <w:tcW w:w="709" w:type="dxa"/>
            <w:shd w:val="clear" w:color="auto" w:fill="auto"/>
            <w:noWrap/>
            <w:vAlign w:val="bottom"/>
            <w:hideMark/>
          </w:tcPr>
          <w:p w14:paraId="085799E3"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18</w:t>
            </w:r>
          </w:p>
        </w:tc>
        <w:tc>
          <w:tcPr>
            <w:tcW w:w="1133" w:type="dxa"/>
            <w:shd w:val="clear" w:color="auto" w:fill="auto"/>
            <w:noWrap/>
            <w:vAlign w:val="bottom"/>
            <w:hideMark/>
          </w:tcPr>
          <w:p w14:paraId="23B7532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w:t>
            </w:r>
          </w:p>
        </w:tc>
        <w:tc>
          <w:tcPr>
            <w:tcW w:w="568" w:type="dxa"/>
            <w:shd w:val="clear" w:color="auto" w:fill="auto"/>
            <w:noWrap/>
            <w:vAlign w:val="bottom"/>
            <w:hideMark/>
          </w:tcPr>
          <w:p w14:paraId="4AFE207D"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19</w:t>
            </w:r>
          </w:p>
        </w:tc>
        <w:tc>
          <w:tcPr>
            <w:tcW w:w="1133" w:type="dxa"/>
            <w:shd w:val="clear" w:color="auto" w:fill="auto"/>
            <w:noWrap/>
            <w:vAlign w:val="bottom"/>
            <w:hideMark/>
          </w:tcPr>
          <w:p w14:paraId="1231380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19</w:t>
            </w:r>
          </w:p>
        </w:tc>
        <w:tc>
          <w:tcPr>
            <w:tcW w:w="568" w:type="dxa"/>
            <w:shd w:val="clear" w:color="auto" w:fill="auto"/>
            <w:noWrap/>
            <w:vAlign w:val="bottom"/>
            <w:hideMark/>
          </w:tcPr>
          <w:p w14:paraId="053F052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1134" w:type="dxa"/>
            <w:shd w:val="clear" w:color="auto" w:fill="auto"/>
            <w:noWrap/>
            <w:vAlign w:val="bottom"/>
            <w:hideMark/>
          </w:tcPr>
          <w:p w14:paraId="5DB4EA1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850" w:type="dxa"/>
            <w:shd w:val="clear" w:color="auto" w:fill="auto"/>
            <w:noWrap/>
            <w:vAlign w:val="bottom"/>
            <w:hideMark/>
          </w:tcPr>
          <w:p w14:paraId="0084DD5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-89%</w:t>
            </w:r>
          </w:p>
        </w:tc>
        <w:tc>
          <w:tcPr>
            <w:tcW w:w="1134" w:type="dxa"/>
            <w:shd w:val="clear" w:color="auto" w:fill="auto"/>
            <w:noWrap/>
            <w:vAlign w:val="bottom"/>
            <w:hideMark/>
          </w:tcPr>
          <w:p w14:paraId="042CA89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-89%</w:t>
            </w:r>
          </w:p>
        </w:tc>
      </w:tr>
      <w:tr w:rsidR="00764312" w:rsidRPr="000636F6" w14:paraId="6572928C" w14:textId="77777777" w:rsidTr="00423E11">
        <w:trPr>
          <w:trHeight w:val="290"/>
        </w:trPr>
        <w:tc>
          <w:tcPr>
            <w:tcW w:w="2547" w:type="dxa"/>
            <w:shd w:val="clear" w:color="auto" w:fill="auto"/>
            <w:noWrap/>
            <w:vAlign w:val="bottom"/>
            <w:hideMark/>
          </w:tcPr>
          <w:p w14:paraId="62250CB5" w14:textId="16FAF341"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Vocational Training</w:t>
            </w:r>
          </w:p>
        </w:tc>
        <w:tc>
          <w:tcPr>
            <w:tcW w:w="709" w:type="dxa"/>
            <w:shd w:val="clear" w:color="auto" w:fill="auto"/>
            <w:noWrap/>
            <w:vAlign w:val="bottom"/>
            <w:hideMark/>
          </w:tcPr>
          <w:p w14:paraId="426557F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212</w:t>
            </w:r>
          </w:p>
        </w:tc>
        <w:tc>
          <w:tcPr>
            <w:tcW w:w="1133" w:type="dxa"/>
            <w:shd w:val="clear" w:color="auto" w:fill="auto"/>
            <w:noWrap/>
            <w:vAlign w:val="bottom"/>
            <w:hideMark/>
          </w:tcPr>
          <w:p w14:paraId="44ED75C1"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210</w:t>
            </w:r>
          </w:p>
        </w:tc>
        <w:tc>
          <w:tcPr>
            <w:tcW w:w="568" w:type="dxa"/>
            <w:shd w:val="clear" w:color="auto" w:fill="auto"/>
            <w:noWrap/>
            <w:vAlign w:val="bottom"/>
            <w:hideMark/>
          </w:tcPr>
          <w:p w14:paraId="64CB35B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128</w:t>
            </w:r>
          </w:p>
        </w:tc>
        <w:tc>
          <w:tcPr>
            <w:tcW w:w="1133" w:type="dxa"/>
            <w:shd w:val="clear" w:color="auto" w:fill="auto"/>
            <w:noWrap/>
            <w:vAlign w:val="bottom"/>
            <w:hideMark/>
          </w:tcPr>
          <w:p w14:paraId="62D8AE0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96</w:t>
            </w:r>
          </w:p>
        </w:tc>
        <w:tc>
          <w:tcPr>
            <w:tcW w:w="568" w:type="dxa"/>
            <w:shd w:val="clear" w:color="auto" w:fill="auto"/>
            <w:noWrap/>
            <w:vAlign w:val="bottom"/>
            <w:hideMark/>
          </w:tcPr>
          <w:p w14:paraId="2D9A439A"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w:t>
            </w:r>
          </w:p>
        </w:tc>
        <w:tc>
          <w:tcPr>
            <w:tcW w:w="1134" w:type="dxa"/>
            <w:shd w:val="clear" w:color="auto" w:fill="auto"/>
            <w:noWrap/>
            <w:vAlign w:val="bottom"/>
            <w:hideMark/>
          </w:tcPr>
          <w:p w14:paraId="12202FB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w:t>
            </w:r>
          </w:p>
        </w:tc>
        <w:tc>
          <w:tcPr>
            <w:tcW w:w="850" w:type="dxa"/>
            <w:shd w:val="clear" w:color="auto" w:fill="auto"/>
            <w:noWrap/>
            <w:vAlign w:val="bottom"/>
            <w:hideMark/>
          </w:tcPr>
          <w:p w14:paraId="77D3E90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-96%</w:t>
            </w:r>
          </w:p>
        </w:tc>
        <w:tc>
          <w:tcPr>
            <w:tcW w:w="1134" w:type="dxa"/>
            <w:shd w:val="clear" w:color="auto" w:fill="auto"/>
            <w:noWrap/>
            <w:vAlign w:val="bottom"/>
            <w:hideMark/>
          </w:tcPr>
          <w:p w14:paraId="179FB86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-95%</w:t>
            </w:r>
          </w:p>
        </w:tc>
      </w:tr>
      <w:tr w:rsidR="00764312" w:rsidRPr="000636F6" w14:paraId="177CDA6F" w14:textId="77777777" w:rsidTr="00423E11">
        <w:trPr>
          <w:trHeight w:val="290"/>
        </w:trPr>
        <w:tc>
          <w:tcPr>
            <w:tcW w:w="2547" w:type="dxa"/>
            <w:shd w:val="clear" w:color="auto" w:fill="auto"/>
            <w:noWrap/>
            <w:vAlign w:val="bottom"/>
            <w:hideMark/>
          </w:tcPr>
          <w:p w14:paraId="776CEF1B" w14:textId="64688995"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Volunteering</w:t>
            </w:r>
          </w:p>
        </w:tc>
        <w:tc>
          <w:tcPr>
            <w:tcW w:w="709" w:type="dxa"/>
            <w:shd w:val="clear" w:color="auto" w:fill="auto"/>
            <w:noWrap/>
            <w:vAlign w:val="bottom"/>
            <w:hideMark/>
          </w:tcPr>
          <w:p w14:paraId="291DCE61"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46</w:t>
            </w:r>
          </w:p>
        </w:tc>
        <w:tc>
          <w:tcPr>
            <w:tcW w:w="1133" w:type="dxa"/>
            <w:shd w:val="clear" w:color="auto" w:fill="auto"/>
            <w:noWrap/>
            <w:vAlign w:val="bottom"/>
            <w:hideMark/>
          </w:tcPr>
          <w:p w14:paraId="7783248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38</w:t>
            </w:r>
          </w:p>
        </w:tc>
        <w:tc>
          <w:tcPr>
            <w:tcW w:w="568" w:type="dxa"/>
            <w:shd w:val="clear" w:color="auto" w:fill="auto"/>
            <w:noWrap/>
            <w:vAlign w:val="bottom"/>
            <w:hideMark/>
          </w:tcPr>
          <w:p w14:paraId="7D1DE95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30</w:t>
            </w:r>
          </w:p>
        </w:tc>
        <w:tc>
          <w:tcPr>
            <w:tcW w:w="1133" w:type="dxa"/>
            <w:shd w:val="clear" w:color="auto" w:fill="auto"/>
            <w:noWrap/>
            <w:vAlign w:val="bottom"/>
            <w:hideMark/>
          </w:tcPr>
          <w:p w14:paraId="7F8ECB8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28</w:t>
            </w:r>
          </w:p>
        </w:tc>
        <w:tc>
          <w:tcPr>
            <w:tcW w:w="568" w:type="dxa"/>
            <w:shd w:val="clear" w:color="auto" w:fill="auto"/>
            <w:noWrap/>
            <w:vAlign w:val="bottom"/>
            <w:hideMark/>
          </w:tcPr>
          <w:p w14:paraId="24232182"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1134" w:type="dxa"/>
            <w:shd w:val="clear" w:color="auto" w:fill="auto"/>
            <w:noWrap/>
            <w:vAlign w:val="bottom"/>
            <w:hideMark/>
          </w:tcPr>
          <w:p w14:paraId="72C950DD"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850" w:type="dxa"/>
            <w:shd w:val="clear" w:color="auto" w:fill="auto"/>
            <w:noWrap/>
            <w:vAlign w:val="bottom"/>
            <w:hideMark/>
          </w:tcPr>
          <w:p w14:paraId="303029E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-93%</w:t>
            </w:r>
          </w:p>
        </w:tc>
        <w:tc>
          <w:tcPr>
            <w:tcW w:w="1134" w:type="dxa"/>
            <w:shd w:val="clear" w:color="auto" w:fill="auto"/>
            <w:noWrap/>
            <w:vAlign w:val="bottom"/>
            <w:hideMark/>
          </w:tcPr>
          <w:p w14:paraId="42C4EB1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-93%</w:t>
            </w:r>
          </w:p>
        </w:tc>
      </w:tr>
      <w:tr w:rsidR="00764312" w:rsidRPr="000636F6" w14:paraId="49868A72" w14:textId="77777777" w:rsidTr="00423E11">
        <w:trPr>
          <w:trHeight w:val="290"/>
        </w:trPr>
        <w:tc>
          <w:tcPr>
            <w:tcW w:w="2547" w:type="dxa"/>
            <w:shd w:val="clear" w:color="auto" w:fill="auto"/>
            <w:noWrap/>
            <w:vAlign w:val="bottom"/>
            <w:hideMark/>
          </w:tcPr>
          <w:p w14:paraId="2BD48375" w14:textId="7D82C9FC"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Work Placement</w:t>
            </w:r>
          </w:p>
        </w:tc>
        <w:tc>
          <w:tcPr>
            <w:tcW w:w="709" w:type="dxa"/>
            <w:shd w:val="clear" w:color="auto" w:fill="auto"/>
            <w:noWrap/>
            <w:vAlign w:val="bottom"/>
            <w:hideMark/>
          </w:tcPr>
          <w:p w14:paraId="12C3DCA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57</w:t>
            </w:r>
          </w:p>
        </w:tc>
        <w:tc>
          <w:tcPr>
            <w:tcW w:w="1133" w:type="dxa"/>
            <w:shd w:val="clear" w:color="auto" w:fill="auto"/>
            <w:noWrap/>
            <w:vAlign w:val="bottom"/>
            <w:hideMark/>
          </w:tcPr>
          <w:p w14:paraId="7EF4882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54</w:t>
            </w:r>
          </w:p>
        </w:tc>
        <w:tc>
          <w:tcPr>
            <w:tcW w:w="568" w:type="dxa"/>
            <w:shd w:val="clear" w:color="auto" w:fill="auto"/>
            <w:noWrap/>
            <w:vAlign w:val="bottom"/>
            <w:hideMark/>
          </w:tcPr>
          <w:p w14:paraId="0618DED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23</w:t>
            </w:r>
          </w:p>
        </w:tc>
        <w:tc>
          <w:tcPr>
            <w:tcW w:w="1133" w:type="dxa"/>
            <w:shd w:val="clear" w:color="auto" w:fill="auto"/>
            <w:noWrap/>
            <w:vAlign w:val="bottom"/>
            <w:hideMark/>
          </w:tcPr>
          <w:p w14:paraId="0329DCD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w:t>
            </w:r>
          </w:p>
        </w:tc>
        <w:tc>
          <w:tcPr>
            <w:tcW w:w="568" w:type="dxa"/>
            <w:shd w:val="clear" w:color="auto" w:fill="auto"/>
            <w:noWrap/>
            <w:vAlign w:val="bottom"/>
            <w:hideMark/>
          </w:tcPr>
          <w:p w14:paraId="7808D0F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c>
          <w:tcPr>
            <w:tcW w:w="1134" w:type="dxa"/>
            <w:shd w:val="clear" w:color="auto" w:fill="auto"/>
            <w:noWrap/>
            <w:vAlign w:val="bottom"/>
            <w:hideMark/>
          </w:tcPr>
          <w:p w14:paraId="0545261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c>
          <w:tcPr>
            <w:tcW w:w="850" w:type="dxa"/>
            <w:shd w:val="clear" w:color="auto" w:fill="auto"/>
            <w:noWrap/>
            <w:vAlign w:val="bottom"/>
            <w:hideMark/>
          </w:tcPr>
          <w:p w14:paraId="48D31E1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-100%</w:t>
            </w:r>
          </w:p>
        </w:tc>
        <w:tc>
          <w:tcPr>
            <w:tcW w:w="1134" w:type="dxa"/>
            <w:shd w:val="clear" w:color="auto" w:fill="auto"/>
            <w:noWrap/>
            <w:vAlign w:val="bottom"/>
            <w:hideMark/>
          </w:tcPr>
          <w:p w14:paraId="66363B1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-100%</w:t>
            </w:r>
          </w:p>
        </w:tc>
      </w:tr>
      <w:tr w:rsidR="00764312" w:rsidRPr="000636F6" w14:paraId="5BD2B7CA" w14:textId="77777777" w:rsidTr="00423E11">
        <w:trPr>
          <w:trHeight w:val="290"/>
        </w:trPr>
        <w:tc>
          <w:tcPr>
            <w:tcW w:w="2547" w:type="dxa"/>
            <w:shd w:val="clear" w:color="auto" w:fill="auto"/>
            <w:noWrap/>
            <w:vAlign w:val="bottom"/>
            <w:hideMark/>
          </w:tcPr>
          <w:p w14:paraId="497A191F"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Qualification</w:t>
            </w:r>
          </w:p>
        </w:tc>
        <w:tc>
          <w:tcPr>
            <w:tcW w:w="709" w:type="dxa"/>
            <w:shd w:val="clear" w:color="auto" w:fill="auto"/>
            <w:noWrap/>
            <w:vAlign w:val="bottom"/>
            <w:hideMark/>
          </w:tcPr>
          <w:p w14:paraId="6C228EB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311</w:t>
            </w:r>
          </w:p>
        </w:tc>
        <w:tc>
          <w:tcPr>
            <w:tcW w:w="1133" w:type="dxa"/>
            <w:shd w:val="clear" w:color="auto" w:fill="auto"/>
            <w:noWrap/>
            <w:vAlign w:val="bottom"/>
            <w:hideMark/>
          </w:tcPr>
          <w:p w14:paraId="04C9846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180</w:t>
            </w:r>
          </w:p>
        </w:tc>
        <w:tc>
          <w:tcPr>
            <w:tcW w:w="568" w:type="dxa"/>
            <w:shd w:val="clear" w:color="auto" w:fill="auto"/>
            <w:noWrap/>
            <w:vAlign w:val="bottom"/>
            <w:hideMark/>
          </w:tcPr>
          <w:p w14:paraId="41EA3F4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265</w:t>
            </w:r>
          </w:p>
        </w:tc>
        <w:tc>
          <w:tcPr>
            <w:tcW w:w="1133" w:type="dxa"/>
            <w:shd w:val="clear" w:color="auto" w:fill="auto"/>
            <w:noWrap/>
            <w:vAlign w:val="bottom"/>
            <w:hideMark/>
          </w:tcPr>
          <w:p w14:paraId="528BA14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188</w:t>
            </w:r>
          </w:p>
        </w:tc>
        <w:tc>
          <w:tcPr>
            <w:tcW w:w="568" w:type="dxa"/>
            <w:shd w:val="clear" w:color="auto" w:fill="auto"/>
            <w:noWrap/>
            <w:vAlign w:val="bottom"/>
            <w:hideMark/>
          </w:tcPr>
          <w:p w14:paraId="51B5EF23"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62</w:t>
            </w:r>
          </w:p>
        </w:tc>
        <w:tc>
          <w:tcPr>
            <w:tcW w:w="1134" w:type="dxa"/>
            <w:shd w:val="clear" w:color="auto" w:fill="auto"/>
            <w:noWrap/>
            <w:vAlign w:val="bottom"/>
            <w:hideMark/>
          </w:tcPr>
          <w:p w14:paraId="4BA3F83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44</w:t>
            </w:r>
          </w:p>
        </w:tc>
        <w:tc>
          <w:tcPr>
            <w:tcW w:w="850" w:type="dxa"/>
            <w:shd w:val="clear" w:color="auto" w:fill="auto"/>
            <w:noWrap/>
            <w:vAlign w:val="bottom"/>
            <w:hideMark/>
          </w:tcPr>
          <w:p w14:paraId="6C76426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-77%</w:t>
            </w:r>
          </w:p>
        </w:tc>
        <w:tc>
          <w:tcPr>
            <w:tcW w:w="1134" w:type="dxa"/>
            <w:shd w:val="clear" w:color="auto" w:fill="auto"/>
            <w:noWrap/>
            <w:vAlign w:val="bottom"/>
            <w:hideMark/>
          </w:tcPr>
          <w:p w14:paraId="0FDE3CE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-77%</w:t>
            </w:r>
          </w:p>
        </w:tc>
      </w:tr>
      <w:tr w:rsidR="00764312" w:rsidRPr="000636F6" w14:paraId="6E1DC3EF" w14:textId="77777777" w:rsidTr="00423E11">
        <w:trPr>
          <w:trHeight w:val="290"/>
        </w:trPr>
        <w:tc>
          <w:tcPr>
            <w:tcW w:w="2547" w:type="dxa"/>
            <w:shd w:val="clear" w:color="auto" w:fill="auto"/>
            <w:noWrap/>
            <w:vAlign w:val="bottom"/>
            <w:hideMark/>
          </w:tcPr>
          <w:p w14:paraId="3DE1ACBB"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Re-Engage with Education</w:t>
            </w:r>
          </w:p>
        </w:tc>
        <w:tc>
          <w:tcPr>
            <w:tcW w:w="709" w:type="dxa"/>
            <w:shd w:val="clear" w:color="auto" w:fill="auto"/>
            <w:noWrap/>
            <w:vAlign w:val="bottom"/>
            <w:hideMark/>
          </w:tcPr>
          <w:p w14:paraId="15AC4E7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257</w:t>
            </w:r>
          </w:p>
        </w:tc>
        <w:tc>
          <w:tcPr>
            <w:tcW w:w="1133" w:type="dxa"/>
            <w:shd w:val="clear" w:color="auto" w:fill="auto"/>
            <w:noWrap/>
            <w:vAlign w:val="bottom"/>
            <w:hideMark/>
          </w:tcPr>
          <w:p w14:paraId="0E49E3A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112</w:t>
            </w:r>
          </w:p>
        </w:tc>
        <w:tc>
          <w:tcPr>
            <w:tcW w:w="568" w:type="dxa"/>
            <w:shd w:val="clear" w:color="auto" w:fill="auto"/>
            <w:noWrap/>
            <w:vAlign w:val="bottom"/>
            <w:hideMark/>
          </w:tcPr>
          <w:p w14:paraId="43AE28C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111</w:t>
            </w:r>
          </w:p>
        </w:tc>
        <w:tc>
          <w:tcPr>
            <w:tcW w:w="1133" w:type="dxa"/>
            <w:shd w:val="clear" w:color="auto" w:fill="auto"/>
            <w:noWrap/>
            <w:vAlign w:val="bottom"/>
            <w:hideMark/>
          </w:tcPr>
          <w:p w14:paraId="0B5FF261"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58</w:t>
            </w:r>
          </w:p>
        </w:tc>
        <w:tc>
          <w:tcPr>
            <w:tcW w:w="568" w:type="dxa"/>
            <w:shd w:val="clear" w:color="auto" w:fill="auto"/>
            <w:noWrap/>
            <w:vAlign w:val="bottom"/>
            <w:hideMark/>
          </w:tcPr>
          <w:p w14:paraId="7AE225A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1134" w:type="dxa"/>
            <w:shd w:val="clear" w:color="auto" w:fill="auto"/>
            <w:noWrap/>
            <w:vAlign w:val="bottom"/>
            <w:hideMark/>
          </w:tcPr>
          <w:p w14:paraId="50CBCDF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850" w:type="dxa"/>
            <w:shd w:val="clear" w:color="auto" w:fill="auto"/>
            <w:noWrap/>
            <w:vAlign w:val="bottom"/>
            <w:hideMark/>
          </w:tcPr>
          <w:p w14:paraId="35A9431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-97%</w:t>
            </w:r>
          </w:p>
        </w:tc>
        <w:tc>
          <w:tcPr>
            <w:tcW w:w="1134" w:type="dxa"/>
            <w:shd w:val="clear" w:color="auto" w:fill="auto"/>
            <w:noWrap/>
            <w:vAlign w:val="bottom"/>
            <w:hideMark/>
          </w:tcPr>
          <w:p w14:paraId="397F925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-95%</w:t>
            </w:r>
          </w:p>
        </w:tc>
      </w:tr>
      <w:tr w:rsidR="00764312" w:rsidRPr="000636F6" w14:paraId="172A9766" w14:textId="77777777" w:rsidTr="00423E11">
        <w:trPr>
          <w:trHeight w:val="290"/>
        </w:trPr>
        <w:tc>
          <w:tcPr>
            <w:tcW w:w="2547" w:type="dxa"/>
            <w:shd w:val="clear" w:color="auto" w:fill="auto"/>
            <w:noWrap/>
            <w:vAlign w:val="bottom"/>
            <w:hideMark/>
          </w:tcPr>
          <w:p w14:paraId="06F287BC"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Retained Employment</w:t>
            </w:r>
          </w:p>
        </w:tc>
        <w:tc>
          <w:tcPr>
            <w:tcW w:w="709" w:type="dxa"/>
            <w:shd w:val="clear" w:color="auto" w:fill="auto"/>
            <w:noWrap/>
            <w:vAlign w:val="bottom"/>
            <w:hideMark/>
          </w:tcPr>
          <w:p w14:paraId="214DFDF5"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10</w:t>
            </w:r>
          </w:p>
        </w:tc>
        <w:tc>
          <w:tcPr>
            <w:tcW w:w="1133" w:type="dxa"/>
            <w:shd w:val="clear" w:color="auto" w:fill="auto"/>
            <w:noWrap/>
            <w:vAlign w:val="bottom"/>
            <w:hideMark/>
          </w:tcPr>
          <w:p w14:paraId="48145E7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10</w:t>
            </w:r>
          </w:p>
        </w:tc>
        <w:tc>
          <w:tcPr>
            <w:tcW w:w="568" w:type="dxa"/>
            <w:shd w:val="clear" w:color="auto" w:fill="auto"/>
            <w:noWrap/>
            <w:vAlign w:val="bottom"/>
            <w:hideMark/>
          </w:tcPr>
          <w:p w14:paraId="5079F45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15</w:t>
            </w:r>
          </w:p>
        </w:tc>
        <w:tc>
          <w:tcPr>
            <w:tcW w:w="1133" w:type="dxa"/>
            <w:shd w:val="clear" w:color="auto" w:fill="auto"/>
            <w:noWrap/>
            <w:vAlign w:val="bottom"/>
            <w:hideMark/>
          </w:tcPr>
          <w:p w14:paraId="719FB55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14</w:t>
            </w:r>
          </w:p>
        </w:tc>
        <w:tc>
          <w:tcPr>
            <w:tcW w:w="568" w:type="dxa"/>
            <w:shd w:val="clear" w:color="auto" w:fill="auto"/>
            <w:noWrap/>
            <w:vAlign w:val="bottom"/>
            <w:hideMark/>
          </w:tcPr>
          <w:p w14:paraId="16FE02D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14</w:t>
            </w:r>
          </w:p>
        </w:tc>
        <w:tc>
          <w:tcPr>
            <w:tcW w:w="1134" w:type="dxa"/>
            <w:shd w:val="clear" w:color="auto" w:fill="auto"/>
            <w:noWrap/>
            <w:vAlign w:val="bottom"/>
            <w:hideMark/>
          </w:tcPr>
          <w:p w14:paraId="29BE9E6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14</w:t>
            </w:r>
          </w:p>
        </w:tc>
        <w:tc>
          <w:tcPr>
            <w:tcW w:w="850" w:type="dxa"/>
            <w:shd w:val="clear" w:color="auto" w:fill="auto"/>
            <w:noWrap/>
            <w:vAlign w:val="bottom"/>
            <w:hideMark/>
          </w:tcPr>
          <w:p w14:paraId="10D0DCFF"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w:t>
            </w:r>
          </w:p>
        </w:tc>
        <w:tc>
          <w:tcPr>
            <w:tcW w:w="1134" w:type="dxa"/>
            <w:shd w:val="clear" w:color="auto" w:fill="auto"/>
            <w:noWrap/>
            <w:vAlign w:val="bottom"/>
            <w:hideMark/>
          </w:tcPr>
          <w:p w14:paraId="37BADFDB"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r>
      <w:tr w:rsidR="00764312" w:rsidRPr="000636F6" w14:paraId="54ABE7C9" w14:textId="77777777" w:rsidTr="00423E11">
        <w:trPr>
          <w:trHeight w:val="290"/>
        </w:trPr>
        <w:tc>
          <w:tcPr>
            <w:tcW w:w="2547" w:type="dxa"/>
            <w:shd w:val="clear" w:color="auto" w:fill="auto"/>
            <w:noWrap/>
            <w:vAlign w:val="bottom"/>
            <w:hideMark/>
          </w:tcPr>
          <w:p w14:paraId="57FED86E"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Self-Employed Outcome</w:t>
            </w:r>
          </w:p>
        </w:tc>
        <w:tc>
          <w:tcPr>
            <w:tcW w:w="709" w:type="dxa"/>
            <w:shd w:val="clear" w:color="auto" w:fill="auto"/>
            <w:noWrap/>
            <w:vAlign w:val="bottom"/>
            <w:hideMark/>
          </w:tcPr>
          <w:p w14:paraId="66C1CC86"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w:t>
            </w:r>
          </w:p>
        </w:tc>
        <w:tc>
          <w:tcPr>
            <w:tcW w:w="1133" w:type="dxa"/>
            <w:shd w:val="clear" w:color="auto" w:fill="auto"/>
            <w:noWrap/>
            <w:vAlign w:val="bottom"/>
            <w:hideMark/>
          </w:tcPr>
          <w:p w14:paraId="33D0255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w:t>
            </w:r>
          </w:p>
        </w:tc>
        <w:tc>
          <w:tcPr>
            <w:tcW w:w="568" w:type="dxa"/>
            <w:shd w:val="clear" w:color="auto" w:fill="auto"/>
            <w:noWrap/>
            <w:vAlign w:val="bottom"/>
            <w:hideMark/>
          </w:tcPr>
          <w:p w14:paraId="533573B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1133" w:type="dxa"/>
            <w:shd w:val="clear" w:color="auto" w:fill="auto"/>
            <w:noWrap/>
            <w:vAlign w:val="bottom"/>
            <w:hideMark/>
          </w:tcPr>
          <w:p w14:paraId="44A4152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w:t>
            </w:r>
          </w:p>
        </w:tc>
        <w:tc>
          <w:tcPr>
            <w:tcW w:w="568" w:type="dxa"/>
            <w:shd w:val="clear" w:color="auto" w:fill="auto"/>
            <w:noWrap/>
            <w:vAlign w:val="bottom"/>
            <w:hideMark/>
          </w:tcPr>
          <w:p w14:paraId="65CC80C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1134" w:type="dxa"/>
            <w:shd w:val="clear" w:color="auto" w:fill="auto"/>
            <w:noWrap/>
            <w:vAlign w:val="bottom"/>
            <w:hideMark/>
          </w:tcPr>
          <w:p w14:paraId="71759661"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3</w:t>
            </w:r>
          </w:p>
        </w:tc>
        <w:tc>
          <w:tcPr>
            <w:tcW w:w="850" w:type="dxa"/>
            <w:shd w:val="clear" w:color="auto" w:fill="auto"/>
            <w:noWrap/>
            <w:vAlign w:val="bottom"/>
            <w:hideMark/>
          </w:tcPr>
          <w:p w14:paraId="4716EEA4"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0%</w:t>
            </w:r>
          </w:p>
        </w:tc>
        <w:tc>
          <w:tcPr>
            <w:tcW w:w="1134" w:type="dxa"/>
            <w:shd w:val="clear" w:color="auto" w:fill="auto"/>
            <w:noWrap/>
            <w:vAlign w:val="bottom"/>
            <w:hideMark/>
          </w:tcPr>
          <w:p w14:paraId="55CDD68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50%</w:t>
            </w:r>
          </w:p>
        </w:tc>
      </w:tr>
      <w:tr w:rsidR="00764312" w:rsidRPr="000636F6" w14:paraId="2D6F503F" w14:textId="77777777" w:rsidTr="00423E11">
        <w:trPr>
          <w:trHeight w:val="290"/>
        </w:trPr>
        <w:tc>
          <w:tcPr>
            <w:tcW w:w="2547" w:type="dxa"/>
            <w:shd w:val="clear" w:color="auto" w:fill="auto"/>
            <w:noWrap/>
            <w:vAlign w:val="bottom"/>
            <w:hideMark/>
          </w:tcPr>
          <w:p w14:paraId="61E7F5B1"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Supported Employment</w:t>
            </w:r>
          </w:p>
        </w:tc>
        <w:tc>
          <w:tcPr>
            <w:tcW w:w="709" w:type="dxa"/>
            <w:shd w:val="clear" w:color="auto" w:fill="auto"/>
            <w:noWrap/>
            <w:vAlign w:val="bottom"/>
            <w:hideMark/>
          </w:tcPr>
          <w:p w14:paraId="1AC961D1"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1</w:t>
            </w:r>
          </w:p>
        </w:tc>
        <w:tc>
          <w:tcPr>
            <w:tcW w:w="1133" w:type="dxa"/>
            <w:shd w:val="clear" w:color="auto" w:fill="auto"/>
            <w:noWrap/>
            <w:vAlign w:val="bottom"/>
            <w:hideMark/>
          </w:tcPr>
          <w:p w14:paraId="3ABA5296"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0</w:t>
            </w:r>
          </w:p>
        </w:tc>
        <w:tc>
          <w:tcPr>
            <w:tcW w:w="568" w:type="dxa"/>
            <w:shd w:val="clear" w:color="auto" w:fill="auto"/>
            <w:noWrap/>
            <w:vAlign w:val="bottom"/>
            <w:hideMark/>
          </w:tcPr>
          <w:p w14:paraId="18FF1F28"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0</w:t>
            </w:r>
          </w:p>
        </w:tc>
        <w:tc>
          <w:tcPr>
            <w:tcW w:w="1133" w:type="dxa"/>
            <w:shd w:val="clear" w:color="auto" w:fill="auto"/>
            <w:noWrap/>
            <w:vAlign w:val="bottom"/>
            <w:hideMark/>
          </w:tcPr>
          <w:p w14:paraId="0E5B1322"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0</w:t>
            </w:r>
          </w:p>
        </w:tc>
        <w:tc>
          <w:tcPr>
            <w:tcW w:w="568" w:type="dxa"/>
            <w:shd w:val="clear" w:color="auto" w:fill="auto"/>
            <w:noWrap/>
            <w:vAlign w:val="bottom"/>
            <w:hideMark/>
          </w:tcPr>
          <w:p w14:paraId="56F9AB69"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0</w:t>
            </w:r>
          </w:p>
        </w:tc>
        <w:tc>
          <w:tcPr>
            <w:tcW w:w="1134" w:type="dxa"/>
            <w:shd w:val="clear" w:color="auto" w:fill="auto"/>
            <w:noWrap/>
            <w:vAlign w:val="bottom"/>
            <w:hideMark/>
          </w:tcPr>
          <w:p w14:paraId="4331AD7E" w14:textId="77777777" w:rsidR="000636F6" w:rsidRPr="000636F6" w:rsidRDefault="000636F6" w:rsidP="000636F6">
            <w:pPr>
              <w:spacing w:after="0" w:line="240" w:lineRule="auto"/>
              <w:jc w:val="right"/>
              <w:rPr>
                <w:rFonts w:eastAsia="Times New Roman" w:cstheme="minorHAnsi"/>
                <w:color w:val="000000"/>
                <w:lang w:eastAsia="en-GB"/>
              </w:rPr>
            </w:pPr>
            <w:r w:rsidRPr="000636F6">
              <w:rPr>
                <w:rFonts w:eastAsia="Times New Roman" w:cstheme="minorHAnsi"/>
                <w:color w:val="000000"/>
                <w:lang w:eastAsia="en-GB"/>
              </w:rPr>
              <w:t>0</w:t>
            </w:r>
          </w:p>
        </w:tc>
        <w:tc>
          <w:tcPr>
            <w:tcW w:w="850" w:type="dxa"/>
            <w:shd w:val="clear" w:color="auto" w:fill="auto"/>
            <w:noWrap/>
            <w:vAlign w:val="bottom"/>
            <w:hideMark/>
          </w:tcPr>
          <w:p w14:paraId="63D98626" w14:textId="4786980B" w:rsidR="000636F6" w:rsidRPr="000636F6" w:rsidRDefault="00423E11" w:rsidP="000636F6">
            <w:pPr>
              <w:spacing w:after="0" w:line="240" w:lineRule="auto"/>
              <w:jc w:val="right"/>
              <w:rPr>
                <w:rFonts w:eastAsia="Times New Roman" w:cstheme="minorHAnsi"/>
                <w:color w:val="000000"/>
                <w:lang w:eastAsia="en-GB"/>
              </w:rPr>
            </w:pPr>
            <w:r w:rsidRPr="00423E11">
              <w:rPr>
                <w:rFonts w:eastAsia="Times New Roman" w:cstheme="minorHAnsi"/>
                <w:color w:val="000000"/>
                <w:lang w:eastAsia="en-GB"/>
              </w:rPr>
              <w:t>0</w:t>
            </w:r>
          </w:p>
        </w:tc>
        <w:tc>
          <w:tcPr>
            <w:tcW w:w="1134" w:type="dxa"/>
            <w:shd w:val="clear" w:color="auto" w:fill="auto"/>
            <w:noWrap/>
            <w:vAlign w:val="bottom"/>
            <w:hideMark/>
          </w:tcPr>
          <w:p w14:paraId="2AFC55AB" w14:textId="1183AFF9" w:rsidR="000636F6" w:rsidRPr="000636F6" w:rsidRDefault="00423E11" w:rsidP="00423E11">
            <w:pPr>
              <w:spacing w:after="0" w:line="240" w:lineRule="auto"/>
              <w:jc w:val="right"/>
              <w:rPr>
                <w:rFonts w:eastAsia="Times New Roman" w:cstheme="minorHAnsi"/>
                <w:lang w:eastAsia="en-GB"/>
              </w:rPr>
            </w:pPr>
            <w:r w:rsidRPr="00423E11">
              <w:rPr>
                <w:rFonts w:eastAsia="Times New Roman" w:cstheme="minorHAnsi"/>
                <w:lang w:eastAsia="en-GB"/>
              </w:rPr>
              <w:t>0</w:t>
            </w:r>
          </w:p>
        </w:tc>
      </w:tr>
      <w:tr w:rsidR="00764312" w:rsidRPr="000636F6" w14:paraId="2B3CC0C7" w14:textId="77777777" w:rsidTr="00423E11">
        <w:trPr>
          <w:trHeight w:val="290"/>
        </w:trPr>
        <w:tc>
          <w:tcPr>
            <w:tcW w:w="2547" w:type="dxa"/>
            <w:shd w:val="clear" w:color="auto" w:fill="auto"/>
            <w:noWrap/>
            <w:vAlign w:val="bottom"/>
            <w:hideMark/>
          </w:tcPr>
          <w:p w14:paraId="41EBAE89" w14:textId="77777777" w:rsidR="000636F6" w:rsidRPr="000636F6" w:rsidRDefault="000636F6" w:rsidP="000636F6">
            <w:pPr>
              <w:spacing w:after="0" w:line="240" w:lineRule="auto"/>
              <w:rPr>
                <w:rFonts w:ascii="Calibri" w:eastAsia="Times New Roman" w:hAnsi="Calibri" w:cs="Calibri"/>
                <w:color w:val="000000"/>
                <w:lang w:eastAsia="en-GB"/>
              </w:rPr>
            </w:pPr>
            <w:r w:rsidRPr="000636F6">
              <w:rPr>
                <w:rFonts w:ascii="Calibri" w:eastAsia="Times New Roman" w:hAnsi="Calibri" w:cs="Calibri"/>
                <w:color w:val="000000"/>
                <w:lang w:eastAsia="en-GB"/>
              </w:rPr>
              <w:t>Grand Total</w:t>
            </w:r>
          </w:p>
        </w:tc>
        <w:tc>
          <w:tcPr>
            <w:tcW w:w="709" w:type="dxa"/>
            <w:shd w:val="clear" w:color="auto" w:fill="auto"/>
            <w:noWrap/>
            <w:vAlign w:val="bottom"/>
            <w:hideMark/>
          </w:tcPr>
          <w:p w14:paraId="09939FC8"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1413</w:t>
            </w:r>
          </w:p>
        </w:tc>
        <w:tc>
          <w:tcPr>
            <w:tcW w:w="1133" w:type="dxa"/>
            <w:shd w:val="clear" w:color="auto" w:fill="auto"/>
            <w:noWrap/>
            <w:vAlign w:val="bottom"/>
            <w:hideMark/>
          </w:tcPr>
          <w:p w14:paraId="7F655F3E"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1058</w:t>
            </w:r>
          </w:p>
        </w:tc>
        <w:tc>
          <w:tcPr>
            <w:tcW w:w="568" w:type="dxa"/>
            <w:shd w:val="clear" w:color="auto" w:fill="auto"/>
            <w:noWrap/>
            <w:vAlign w:val="bottom"/>
            <w:hideMark/>
          </w:tcPr>
          <w:p w14:paraId="6F03D870"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856</w:t>
            </w:r>
          </w:p>
        </w:tc>
        <w:tc>
          <w:tcPr>
            <w:tcW w:w="1133" w:type="dxa"/>
            <w:shd w:val="clear" w:color="auto" w:fill="auto"/>
            <w:noWrap/>
            <w:vAlign w:val="bottom"/>
            <w:hideMark/>
          </w:tcPr>
          <w:p w14:paraId="019337E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650</w:t>
            </w:r>
          </w:p>
        </w:tc>
        <w:tc>
          <w:tcPr>
            <w:tcW w:w="568" w:type="dxa"/>
            <w:shd w:val="clear" w:color="auto" w:fill="auto"/>
            <w:noWrap/>
            <w:vAlign w:val="bottom"/>
            <w:hideMark/>
          </w:tcPr>
          <w:p w14:paraId="07D44C19"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220</w:t>
            </w:r>
          </w:p>
        </w:tc>
        <w:tc>
          <w:tcPr>
            <w:tcW w:w="1134" w:type="dxa"/>
            <w:shd w:val="clear" w:color="auto" w:fill="auto"/>
            <w:noWrap/>
            <w:vAlign w:val="bottom"/>
            <w:hideMark/>
          </w:tcPr>
          <w:p w14:paraId="767810E1"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191</w:t>
            </w:r>
          </w:p>
        </w:tc>
        <w:tc>
          <w:tcPr>
            <w:tcW w:w="850" w:type="dxa"/>
            <w:shd w:val="clear" w:color="auto" w:fill="auto"/>
            <w:noWrap/>
            <w:vAlign w:val="bottom"/>
            <w:hideMark/>
          </w:tcPr>
          <w:p w14:paraId="772C7D1C"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-74%</w:t>
            </w:r>
          </w:p>
        </w:tc>
        <w:tc>
          <w:tcPr>
            <w:tcW w:w="1134" w:type="dxa"/>
            <w:shd w:val="clear" w:color="auto" w:fill="auto"/>
            <w:noWrap/>
            <w:vAlign w:val="bottom"/>
            <w:hideMark/>
          </w:tcPr>
          <w:p w14:paraId="00C89D07" w14:textId="77777777" w:rsidR="000636F6" w:rsidRPr="000636F6" w:rsidRDefault="000636F6" w:rsidP="000636F6">
            <w:pPr>
              <w:spacing w:after="0" w:line="240" w:lineRule="auto"/>
              <w:jc w:val="right"/>
              <w:rPr>
                <w:rFonts w:ascii="Calibri" w:eastAsia="Times New Roman" w:hAnsi="Calibri" w:cs="Calibri"/>
                <w:color w:val="000000"/>
                <w:lang w:eastAsia="en-GB"/>
              </w:rPr>
            </w:pPr>
            <w:r w:rsidRPr="000636F6">
              <w:rPr>
                <w:rFonts w:ascii="Calibri" w:eastAsia="Times New Roman" w:hAnsi="Calibri" w:cs="Calibri"/>
                <w:color w:val="000000"/>
                <w:lang w:eastAsia="en-GB"/>
              </w:rPr>
              <w:t>-71%</w:t>
            </w:r>
          </w:p>
        </w:tc>
      </w:tr>
    </w:tbl>
    <w:p w14:paraId="0CD8C872" w14:textId="1707E2EE" w:rsidR="000636F6" w:rsidRDefault="000636F6"/>
    <w:p w14:paraId="2499887F" w14:textId="789EDB0D" w:rsidR="00C12516" w:rsidRDefault="00C12516">
      <w:r>
        <w:t xml:space="preserve">In terms of the sectors Table 7 looks at </w:t>
      </w:r>
      <w:r w:rsidR="007D4FFE">
        <w:t>the sectors</w:t>
      </w:r>
      <w:r w:rsidR="00B779E3">
        <w:t xml:space="preserve"> for the 65 Edinburgh jobs</w:t>
      </w:r>
      <w:r w:rsidR="00BF1507">
        <w:t xml:space="preserve"> and compares it to the 129 recorded in the same quarter last year.</w:t>
      </w:r>
    </w:p>
    <w:p w14:paraId="59A958E6" w14:textId="454CA2E9" w:rsidR="00BF1507" w:rsidRDefault="00BF1507" w:rsidP="00C26190">
      <w:pPr>
        <w:pStyle w:val="Heading3"/>
      </w:pPr>
      <w:r>
        <w:t xml:space="preserve">Table 7 </w:t>
      </w:r>
      <w:r w:rsidR="00C26190">
        <w:t>Full and Part Time Jobs by Sector</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755"/>
        <w:gridCol w:w="1226"/>
        <w:gridCol w:w="980"/>
        <w:gridCol w:w="1226"/>
      </w:tblGrid>
      <w:tr w:rsidR="00BF1507" w:rsidRPr="00BF1507" w14:paraId="57725E27" w14:textId="77777777" w:rsidTr="00FF5DA9">
        <w:trPr>
          <w:trHeight w:hRule="exact" w:val="255"/>
        </w:trPr>
        <w:tc>
          <w:tcPr>
            <w:tcW w:w="3460" w:type="dxa"/>
            <w:shd w:val="clear" w:color="auto" w:fill="auto"/>
            <w:noWrap/>
            <w:vAlign w:val="bottom"/>
            <w:hideMark/>
          </w:tcPr>
          <w:p w14:paraId="1BFE12FD" w14:textId="77777777" w:rsidR="00BF1507" w:rsidRPr="00BF1507" w:rsidRDefault="00BF1507" w:rsidP="00BF1507">
            <w:pPr>
              <w:spacing w:after="0" w:line="240" w:lineRule="auto"/>
              <w:rPr>
                <w:rFonts w:eastAsia="Times New Roman" w:cstheme="minorHAnsi"/>
                <w:lang w:eastAsia="en-GB"/>
              </w:rPr>
            </w:pPr>
          </w:p>
        </w:tc>
        <w:tc>
          <w:tcPr>
            <w:tcW w:w="1849" w:type="dxa"/>
            <w:gridSpan w:val="2"/>
            <w:vAlign w:val="bottom"/>
          </w:tcPr>
          <w:p w14:paraId="56E73392" w14:textId="5163B999" w:rsidR="00BF1507" w:rsidRPr="00BF1507" w:rsidRDefault="00BF1507" w:rsidP="00BF1507">
            <w:pPr>
              <w:spacing w:after="0" w:line="240" w:lineRule="auto"/>
              <w:rPr>
                <w:rFonts w:eastAsia="Times New Roman" w:cstheme="minorHAnsi"/>
                <w:lang w:eastAsia="en-GB"/>
              </w:rPr>
            </w:pPr>
            <w:r w:rsidRPr="00BF1507">
              <w:rPr>
                <w:rFonts w:eastAsia="Times New Roman" w:cstheme="minorHAnsi"/>
                <w:color w:val="000000"/>
                <w:lang w:eastAsia="en-GB"/>
              </w:rPr>
              <w:t>2019</w:t>
            </w:r>
          </w:p>
        </w:tc>
        <w:tc>
          <w:tcPr>
            <w:tcW w:w="2074" w:type="dxa"/>
            <w:gridSpan w:val="2"/>
            <w:shd w:val="clear" w:color="auto" w:fill="auto"/>
            <w:noWrap/>
            <w:vAlign w:val="bottom"/>
            <w:hideMark/>
          </w:tcPr>
          <w:p w14:paraId="47F9DBCF" w14:textId="78248568"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2020</w:t>
            </w:r>
          </w:p>
        </w:tc>
      </w:tr>
      <w:tr w:rsidR="00BF1507" w:rsidRPr="00BF1507" w14:paraId="0280C7E4" w14:textId="77777777" w:rsidTr="00FF5DA9">
        <w:trPr>
          <w:trHeight w:hRule="exact" w:val="255"/>
        </w:trPr>
        <w:tc>
          <w:tcPr>
            <w:tcW w:w="3460" w:type="dxa"/>
            <w:shd w:val="clear" w:color="auto" w:fill="auto"/>
            <w:noWrap/>
            <w:vAlign w:val="bottom"/>
          </w:tcPr>
          <w:p w14:paraId="42302FDE" w14:textId="77777777" w:rsidR="00BF1507" w:rsidRPr="00BF1507" w:rsidRDefault="00BF1507" w:rsidP="00BF1507">
            <w:pPr>
              <w:spacing w:after="0" w:line="240" w:lineRule="auto"/>
              <w:rPr>
                <w:rFonts w:eastAsia="Times New Roman" w:cstheme="minorHAnsi"/>
                <w:lang w:eastAsia="en-GB"/>
              </w:rPr>
            </w:pPr>
          </w:p>
        </w:tc>
        <w:tc>
          <w:tcPr>
            <w:tcW w:w="755" w:type="dxa"/>
            <w:vAlign w:val="bottom"/>
          </w:tcPr>
          <w:p w14:paraId="4DA91FA7" w14:textId="260107E0"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Count</w:t>
            </w:r>
          </w:p>
        </w:tc>
        <w:tc>
          <w:tcPr>
            <w:tcW w:w="1094" w:type="dxa"/>
          </w:tcPr>
          <w:p w14:paraId="6C3038DC" w14:textId="42097C21" w:rsidR="00BF1507" w:rsidRPr="00BF1507" w:rsidRDefault="00BF1507" w:rsidP="00BF1507">
            <w:pPr>
              <w:spacing w:after="0" w:line="240" w:lineRule="auto"/>
              <w:rPr>
                <w:rFonts w:eastAsia="Times New Roman" w:cstheme="minorHAnsi"/>
                <w:lang w:eastAsia="en-GB"/>
              </w:rPr>
            </w:pPr>
            <w:r w:rsidRPr="00BF1507">
              <w:rPr>
                <w:rFonts w:eastAsia="Times New Roman" w:cstheme="minorHAnsi"/>
                <w:lang w:eastAsia="en-GB"/>
              </w:rPr>
              <w:t>Percentage</w:t>
            </w:r>
          </w:p>
        </w:tc>
        <w:tc>
          <w:tcPr>
            <w:tcW w:w="980" w:type="dxa"/>
            <w:noWrap/>
            <w:vAlign w:val="bottom"/>
          </w:tcPr>
          <w:p w14:paraId="1E394ADC" w14:textId="1B7FD238"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Count</w:t>
            </w:r>
          </w:p>
        </w:tc>
        <w:tc>
          <w:tcPr>
            <w:tcW w:w="1094" w:type="dxa"/>
            <w:noWrap/>
          </w:tcPr>
          <w:p w14:paraId="16F9A6CD" w14:textId="11B07BE6"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lang w:eastAsia="en-GB"/>
              </w:rPr>
              <w:t>Percentage</w:t>
            </w:r>
          </w:p>
        </w:tc>
      </w:tr>
      <w:tr w:rsidR="00BF1507" w:rsidRPr="00BF1507" w14:paraId="656AC67A" w14:textId="77777777" w:rsidTr="00FF5DA9">
        <w:trPr>
          <w:trHeight w:hRule="exact" w:val="255"/>
        </w:trPr>
        <w:tc>
          <w:tcPr>
            <w:tcW w:w="3460" w:type="dxa"/>
            <w:shd w:val="clear" w:color="auto" w:fill="auto"/>
            <w:noWrap/>
            <w:vAlign w:val="bottom"/>
            <w:hideMark/>
          </w:tcPr>
          <w:p w14:paraId="5992E2B8"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Administrative and secretarial</w:t>
            </w:r>
          </w:p>
        </w:tc>
        <w:tc>
          <w:tcPr>
            <w:tcW w:w="755" w:type="dxa"/>
            <w:vAlign w:val="bottom"/>
          </w:tcPr>
          <w:p w14:paraId="7FF6C48E" w14:textId="349BC99E"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12</w:t>
            </w:r>
          </w:p>
        </w:tc>
        <w:tc>
          <w:tcPr>
            <w:tcW w:w="1094" w:type="dxa"/>
            <w:vAlign w:val="bottom"/>
          </w:tcPr>
          <w:p w14:paraId="244A9818" w14:textId="2678928B"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9%</w:t>
            </w:r>
          </w:p>
        </w:tc>
        <w:tc>
          <w:tcPr>
            <w:tcW w:w="980" w:type="dxa"/>
            <w:shd w:val="clear" w:color="auto" w:fill="auto"/>
            <w:noWrap/>
            <w:vAlign w:val="bottom"/>
            <w:hideMark/>
          </w:tcPr>
          <w:p w14:paraId="4813D0A2"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3</w:t>
            </w:r>
          </w:p>
        </w:tc>
        <w:tc>
          <w:tcPr>
            <w:tcW w:w="1094" w:type="dxa"/>
            <w:shd w:val="clear" w:color="auto" w:fill="auto"/>
            <w:noWrap/>
            <w:vAlign w:val="bottom"/>
            <w:hideMark/>
          </w:tcPr>
          <w:p w14:paraId="3B37C419"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5%</w:t>
            </w:r>
          </w:p>
        </w:tc>
      </w:tr>
      <w:tr w:rsidR="00BF1507" w:rsidRPr="00BF1507" w14:paraId="07643E03" w14:textId="77777777" w:rsidTr="00FF5DA9">
        <w:trPr>
          <w:trHeight w:hRule="exact" w:val="255"/>
        </w:trPr>
        <w:tc>
          <w:tcPr>
            <w:tcW w:w="3460" w:type="dxa"/>
            <w:shd w:val="clear" w:color="auto" w:fill="auto"/>
            <w:noWrap/>
            <w:vAlign w:val="bottom"/>
            <w:hideMark/>
          </w:tcPr>
          <w:p w14:paraId="4C4D1687"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Associate professional and technical</w:t>
            </w:r>
          </w:p>
        </w:tc>
        <w:tc>
          <w:tcPr>
            <w:tcW w:w="755" w:type="dxa"/>
            <w:vAlign w:val="bottom"/>
          </w:tcPr>
          <w:p w14:paraId="2F60C4D3" w14:textId="57927981"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4</w:t>
            </w:r>
          </w:p>
        </w:tc>
        <w:tc>
          <w:tcPr>
            <w:tcW w:w="1094" w:type="dxa"/>
            <w:vAlign w:val="bottom"/>
          </w:tcPr>
          <w:p w14:paraId="369E5D5F" w14:textId="7A9A9D9F"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3%</w:t>
            </w:r>
          </w:p>
        </w:tc>
        <w:tc>
          <w:tcPr>
            <w:tcW w:w="980" w:type="dxa"/>
            <w:shd w:val="clear" w:color="auto" w:fill="auto"/>
            <w:noWrap/>
            <w:vAlign w:val="bottom"/>
            <w:hideMark/>
          </w:tcPr>
          <w:p w14:paraId="5E7035A2"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3</w:t>
            </w:r>
          </w:p>
        </w:tc>
        <w:tc>
          <w:tcPr>
            <w:tcW w:w="1094" w:type="dxa"/>
            <w:shd w:val="clear" w:color="auto" w:fill="auto"/>
            <w:noWrap/>
            <w:vAlign w:val="bottom"/>
            <w:hideMark/>
          </w:tcPr>
          <w:p w14:paraId="11C6818A"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5%</w:t>
            </w:r>
          </w:p>
        </w:tc>
      </w:tr>
      <w:tr w:rsidR="00BF1507" w:rsidRPr="00BF1507" w14:paraId="55E1E43E" w14:textId="77777777" w:rsidTr="00FF5DA9">
        <w:trPr>
          <w:trHeight w:hRule="exact" w:val="255"/>
        </w:trPr>
        <w:tc>
          <w:tcPr>
            <w:tcW w:w="3460" w:type="dxa"/>
            <w:shd w:val="clear" w:color="auto" w:fill="auto"/>
            <w:noWrap/>
            <w:vAlign w:val="bottom"/>
            <w:hideMark/>
          </w:tcPr>
          <w:p w14:paraId="2BABB961"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Childcare</w:t>
            </w:r>
          </w:p>
        </w:tc>
        <w:tc>
          <w:tcPr>
            <w:tcW w:w="755" w:type="dxa"/>
            <w:vAlign w:val="bottom"/>
          </w:tcPr>
          <w:p w14:paraId="018CD3BE" w14:textId="294C322A"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9</w:t>
            </w:r>
          </w:p>
        </w:tc>
        <w:tc>
          <w:tcPr>
            <w:tcW w:w="1094" w:type="dxa"/>
            <w:vAlign w:val="bottom"/>
          </w:tcPr>
          <w:p w14:paraId="72A55E96" w14:textId="189DCB05"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7%</w:t>
            </w:r>
          </w:p>
        </w:tc>
        <w:tc>
          <w:tcPr>
            <w:tcW w:w="980" w:type="dxa"/>
            <w:shd w:val="clear" w:color="auto" w:fill="auto"/>
            <w:noWrap/>
            <w:vAlign w:val="bottom"/>
            <w:hideMark/>
          </w:tcPr>
          <w:p w14:paraId="0AD5751C"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0</w:t>
            </w:r>
          </w:p>
        </w:tc>
        <w:tc>
          <w:tcPr>
            <w:tcW w:w="1094" w:type="dxa"/>
            <w:shd w:val="clear" w:color="auto" w:fill="auto"/>
            <w:noWrap/>
            <w:vAlign w:val="bottom"/>
            <w:hideMark/>
          </w:tcPr>
          <w:p w14:paraId="39FA642D"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0%</w:t>
            </w:r>
          </w:p>
        </w:tc>
      </w:tr>
      <w:tr w:rsidR="00BF1507" w:rsidRPr="00BF1507" w14:paraId="1D228891" w14:textId="77777777" w:rsidTr="00FF5DA9">
        <w:trPr>
          <w:trHeight w:hRule="exact" w:val="255"/>
        </w:trPr>
        <w:tc>
          <w:tcPr>
            <w:tcW w:w="3460" w:type="dxa"/>
            <w:shd w:val="clear" w:color="auto" w:fill="auto"/>
            <w:noWrap/>
            <w:vAlign w:val="bottom"/>
            <w:hideMark/>
          </w:tcPr>
          <w:p w14:paraId="55FE0CD1" w14:textId="77777777" w:rsidR="00BF1507" w:rsidRPr="00BF1507" w:rsidRDefault="00BF1507" w:rsidP="00BF1507">
            <w:pPr>
              <w:spacing w:after="0" w:line="240" w:lineRule="auto"/>
              <w:rPr>
                <w:rFonts w:eastAsia="Times New Roman" w:cstheme="minorHAnsi"/>
                <w:color w:val="000000"/>
                <w:lang w:eastAsia="en-GB"/>
              </w:rPr>
            </w:pPr>
            <w:proofErr w:type="gramStart"/>
            <w:r w:rsidRPr="00BF1507">
              <w:rPr>
                <w:rFonts w:eastAsia="Times New Roman" w:cstheme="minorHAnsi"/>
                <w:color w:val="000000"/>
                <w:lang w:eastAsia="en-GB"/>
              </w:rPr>
              <w:t>Don't</w:t>
            </w:r>
            <w:proofErr w:type="gramEnd"/>
            <w:r w:rsidRPr="00BF1507">
              <w:rPr>
                <w:rFonts w:eastAsia="Times New Roman" w:cstheme="minorHAnsi"/>
                <w:color w:val="000000"/>
                <w:lang w:eastAsia="en-GB"/>
              </w:rPr>
              <w:t xml:space="preserve"> know</w:t>
            </w:r>
          </w:p>
        </w:tc>
        <w:tc>
          <w:tcPr>
            <w:tcW w:w="755" w:type="dxa"/>
            <w:vAlign w:val="bottom"/>
          </w:tcPr>
          <w:p w14:paraId="6726C76C" w14:textId="6B2D491A"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w:t>
            </w:r>
          </w:p>
        </w:tc>
        <w:tc>
          <w:tcPr>
            <w:tcW w:w="1094" w:type="dxa"/>
            <w:vAlign w:val="bottom"/>
          </w:tcPr>
          <w:p w14:paraId="5AC88985" w14:textId="78825069"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w:t>
            </w:r>
          </w:p>
        </w:tc>
        <w:tc>
          <w:tcPr>
            <w:tcW w:w="980" w:type="dxa"/>
            <w:shd w:val="clear" w:color="auto" w:fill="auto"/>
            <w:noWrap/>
            <w:vAlign w:val="bottom"/>
            <w:hideMark/>
          </w:tcPr>
          <w:p w14:paraId="033444C7"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3</w:t>
            </w:r>
          </w:p>
        </w:tc>
        <w:tc>
          <w:tcPr>
            <w:tcW w:w="1094" w:type="dxa"/>
            <w:shd w:val="clear" w:color="auto" w:fill="auto"/>
            <w:noWrap/>
            <w:vAlign w:val="bottom"/>
            <w:hideMark/>
          </w:tcPr>
          <w:p w14:paraId="073F295D"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5%</w:t>
            </w:r>
          </w:p>
        </w:tc>
      </w:tr>
      <w:tr w:rsidR="00BF1507" w:rsidRPr="00BF1507" w14:paraId="7A1A7E57" w14:textId="77777777" w:rsidTr="00FF5DA9">
        <w:trPr>
          <w:trHeight w:hRule="exact" w:val="255"/>
        </w:trPr>
        <w:tc>
          <w:tcPr>
            <w:tcW w:w="3460" w:type="dxa"/>
            <w:shd w:val="clear" w:color="auto" w:fill="auto"/>
            <w:noWrap/>
            <w:vAlign w:val="bottom"/>
            <w:hideMark/>
          </w:tcPr>
          <w:p w14:paraId="50DDDA7D"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Elementary services</w:t>
            </w:r>
          </w:p>
        </w:tc>
        <w:tc>
          <w:tcPr>
            <w:tcW w:w="755" w:type="dxa"/>
            <w:vAlign w:val="bottom"/>
          </w:tcPr>
          <w:p w14:paraId="370F38D7" w14:textId="435A4E1A"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24</w:t>
            </w:r>
          </w:p>
        </w:tc>
        <w:tc>
          <w:tcPr>
            <w:tcW w:w="1094" w:type="dxa"/>
            <w:vAlign w:val="bottom"/>
          </w:tcPr>
          <w:p w14:paraId="13134A5D" w14:textId="3A53C4EE"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19%</w:t>
            </w:r>
          </w:p>
        </w:tc>
        <w:tc>
          <w:tcPr>
            <w:tcW w:w="980" w:type="dxa"/>
            <w:shd w:val="clear" w:color="auto" w:fill="auto"/>
            <w:noWrap/>
            <w:vAlign w:val="bottom"/>
            <w:hideMark/>
          </w:tcPr>
          <w:p w14:paraId="0CA0C146"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9</w:t>
            </w:r>
          </w:p>
        </w:tc>
        <w:tc>
          <w:tcPr>
            <w:tcW w:w="1094" w:type="dxa"/>
            <w:shd w:val="clear" w:color="auto" w:fill="auto"/>
            <w:noWrap/>
            <w:vAlign w:val="bottom"/>
            <w:hideMark/>
          </w:tcPr>
          <w:p w14:paraId="0E2344FE"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14%</w:t>
            </w:r>
          </w:p>
        </w:tc>
      </w:tr>
      <w:tr w:rsidR="00BF1507" w:rsidRPr="00BF1507" w14:paraId="2CD87654" w14:textId="77777777" w:rsidTr="00FF5DA9">
        <w:trPr>
          <w:trHeight w:hRule="exact" w:val="255"/>
        </w:trPr>
        <w:tc>
          <w:tcPr>
            <w:tcW w:w="3460" w:type="dxa"/>
            <w:shd w:val="clear" w:color="auto" w:fill="auto"/>
            <w:noWrap/>
            <w:vAlign w:val="bottom"/>
            <w:hideMark/>
          </w:tcPr>
          <w:p w14:paraId="656DC70A"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Managers and senior officials</w:t>
            </w:r>
          </w:p>
        </w:tc>
        <w:tc>
          <w:tcPr>
            <w:tcW w:w="755" w:type="dxa"/>
            <w:vAlign w:val="bottom"/>
          </w:tcPr>
          <w:p w14:paraId="0DABBA70" w14:textId="7A730565"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0</w:t>
            </w:r>
          </w:p>
        </w:tc>
        <w:tc>
          <w:tcPr>
            <w:tcW w:w="1094" w:type="dxa"/>
            <w:vAlign w:val="bottom"/>
          </w:tcPr>
          <w:p w14:paraId="5E0654C4" w14:textId="3AB6B0CF"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0%</w:t>
            </w:r>
          </w:p>
        </w:tc>
        <w:tc>
          <w:tcPr>
            <w:tcW w:w="980" w:type="dxa"/>
            <w:shd w:val="clear" w:color="auto" w:fill="auto"/>
            <w:noWrap/>
            <w:vAlign w:val="bottom"/>
            <w:hideMark/>
          </w:tcPr>
          <w:p w14:paraId="71F52EB3"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1</w:t>
            </w:r>
          </w:p>
        </w:tc>
        <w:tc>
          <w:tcPr>
            <w:tcW w:w="1094" w:type="dxa"/>
            <w:shd w:val="clear" w:color="auto" w:fill="auto"/>
            <w:noWrap/>
            <w:vAlign w:val="bottom"/>
            <w:hideMark/>
          </w:tcPr>
          <w:p w14:paraId="660D71ED"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2%</w:t>
            </w:r>
          </w:p>
        </w:tc>
      </w:tr>
      <w:tr w:rsidR="00BF1507" w:rsidRPr="00BF1507" w14:paraId="46DA9129" w14:textId="77777777" w:rsidTr="00FF5DA9">
        <w:trPr>
          <w:trHeight w:hRule="exact" w:val="255"/>
        </w:trPr>
        <w:tc>
          <w:tcPr>
            <w:tcW w:w="3460" w:type="dxa"/>
            <w:shd w:val="clear" w:color="auto" w:fill="auto"/>
            <w:noWrap/>
            <w:vAlign w:val="bottom"/>
            <w:hideMark/>
          </w:tcPr>
          <w:p w14:paraId="07403735"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Other personal services</w:t>
            </w:r>
          </w:p>
        </w:tc>
        <w:tc>
          <w:tcPr>
            <w:tcW w:w="755" w:type="dxa"/>
            <w:vAlign w:val="bottom"/>
          </w:tcPr>
          <w:p w14:paraId="0FA00090" w14:textId="29A2FE9C"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33</w:t>
            </w:r>
          </w:p>
        </w:tc>
        <w:tc>
          <w:tcPr>
            <w:tcW w:w="1094" w:type="dxa"/>
            <w:vAlign w:val="bottom"/>
          </w:tcPr>
          <w:p w14:paraId="4BFB0670" w14:textId="0DA9C095"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26%</w:t>
            </w:r>
          </w:p>
        </w:tc>
        <w:tc>
          <w:tcPr>
            <w:tcW w:w="980" w:type="dxa"/>
            <w:shd w:val="clear" w:color="auto" w:fill="auto"/>
            <w:noWrap/>
            <w:vAlign w:val="bottom"/>
            <w:hideMark/>
          </w:tcPr>
          <w:p w14:paraId="158A0CBA"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18</w:t>
            </w:r>
          </w:p>
        </w:tc>
        <w:tc>
          <w:tcPr>
            <w:tcW w:w="1094" w:type="dxa"/>
            <w:shd w:val="clear" w:color="auto" w:fill="auto"/>
            <w:noWrap/>
            <w:vAlign w:val="bottom"/>
            <w:hideMark/>
          </w:tcPr>
          <w:p w14:paraId="6C16EEF8"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28%</w:t>
            </w:r>
          </w:p>
        </w:tc>
      </w:tr>
      <w:tr w:rsidR="00BF1507" w:rsidRPr="00BF1507" w14:paraId="29337D44" w14:textId="77777777" w:rsidTr="00FF5DA9">
        <w:trPr>
          <w:trHeight w:hRule="exact" w:val="255"/>
        </w:trPr>
        <w:tc>
          <w:tcPr>
            <w:tcW w:w="3460" w:type="dxa"/>
            <w:shd w:val="clear" w:color="auto" w:fill="auto"/>
            <w:noWrap/>
            <w:vAlign w:val="bottom"/>
            <w:hideMark/>
          </w:tcPr>
          <w:p w14:paraId="49FFAF7B"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Process, plant, machine operatives</w:t>
            </w:r>
          </w:p>
        </w:tc>
        <w:tc>
          <w:tcPr>
            <w:tcW w:w="755" w:type="dxa"/>
            <w:vAlign w:val="bottom"/>
          </w:tcPr>
          <w:p w14:paraId="2C627ED8" w14:textId="6D0E7784"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3</w:t>
            </w:r>
          </w:p>
        </w:tc>
        <w:tc>
          <w:tcPr>
            <w:tcW w:w="1094" w:type="dxa"/>
            <w:vAlign w:val="bottom"/>
          </w:tcPr>
          <w:p w14:paraId="69DF3B6F" w14:textId="444DBD44"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w:t>
            </w:r>
          </w:p>
        </w:tc>
        <w:tc>
          <w:tcPr>
            <w:tcW w:w="980" w:type="dxa"/>
            <w:shd w:val="clear" w:color="auto" w:fill="auto"/>
            <w:noWrap/>
            <w:vAlign w:val="bottom"/>
            <w:hideMark/>
          </w:tcPr>
          <w:p w14:paraId="0732207D"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9</w:t>
            </w:r>
          </w:p>
        </w:tc>
        <w:tc>
          <w:tcPr>
            <w:tcW w:w="1094" w:type="dxa"/>
            <w:shd w:val="clear" w:color="auto" w:fill="auto"/>
            <w:noWrap/>
            <w:vAlign w:val="bottom"/>
            <w:hideMark/>
          </w:tcPr>
          <w:p w14:paraId="29151781"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14%</w:t>
            </w:r>
          </w:p>
        </w:tc>
      </w:tr>
      <w:tr w:rsidR="00BF1507" w:rsidRPr="00BF1507" w14:paraId="1959F4F8" w14:textId="77777777" w:rsidTr="00FF5DA9">
        <w:trPr>
          <w:trHeight w:hRule="exact" w:val="255"/>
        </w:trPr>
        <w:tc>
          <w:tcPr>
            <w:tcW w:w="3460" w:type="dxa"/>
            <w:shd w:val="clear" w:color="auto" w:fill="auto"/>
            <w:noWrap/>
            <w:vAlign w:val="bottom"/>
            <w:hideMark/>
          </w:tcPr>
          <w:p w14:paraId="37596588"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Professional Occupations</w:t>
            </w:r>
          </w:p>
        </w:tc>
        <w:tc>
          <w:tcPr>
            <w:tcW w:w="755" w:type="dxa"/>
            <w:vAlign w:val="bottom"/>
          </w:tcPr>
          <w:p w14:paraId="359F402D" w14:textId="5F0C02C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5</w:t>
            </w:r>
          </w:p>
        </w:tc>
        <w:tc>
          <w:tcPr>
            <w:tcW w:w="1094" w:type="dxa"/>
            <w:vAlign w:val="bottom"/>
          </w:tcPr>
          <w:p w14:paraId="1892574B" w14:textId="7562A8D3"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4%</w:t>
            </w:r>
          </w:p>
        </w:tc>
        <w:tc>
          <w:tcPr>
            <w:tcW w:w="980" w:type="dxa"/>
            <w:shd w:val="clear" w:color="auto" w:fill="auto"/>
            <w:noWrap/>
            <w:vAlign w:val="bottom"/>
            <w:hideMark/>
          </w:tcPr>
          <w:p w14:paraId="24037F8D"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2</w:t>
            </w:r>
          </w:p>
        </w:tc>
        <w:tc>
          <w:tcPr>
            <w:tcW w:w="1094" w:type="dxa"/>
            <w:shd w:val="clear" w:color="auto" w:fill="auto"/>
            <w:noWrap/>
            <w:vAlign w:val="bottom"/>
            <w:hideMark/>
          </w:tcPr>
          <w:p w14:paraId="3540FDEB"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3%</w:t>
            </w:r>
          </w:p>
        </w:tc>
      </w:tr>
      <w:tr w:rsidR="00BF1507" w:rsidRPr="00BF1507" w14:paraId="1F4CAC94" w14:textId="77777777" w:rsidTr="00FF5DA9">
        <w:trPr>
          <w:trHeight w:hRule="exact" w:val="255"/>
        </w:trPr>
        <w:tc>
          <w:tcPr>
            <w:tcW w:w="3460" w:type="dxa"/>
            <w:shd w:val="clear" w:color="auto" w:fill="auto"/>
            <w:noWrap/>
            <w:vAlign w:val="bottom"/>
            <w:hideMark/>
          </w:tcPr>
          <w:p w14:paraId="2B178458"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Sales and customer service</w:t>
            </w:r>
          </w:p>
        </w:tc>
        <w:tc>
          <w:tcPr>
            <w:tcW w:w="755" w:type="dxa"/>
            <w:vAlign w:val="bottom"/>
          </w:tcPr>
          <w:p w14:paraId="2DEEE451" w14:textId="6AD387FF"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21</w:t>
            </w:r>
          </w:p>
        </w:tc>
        <w:tc>
          <w:tcPr>
            <w:tcW w:w="1094" w:type="dxa"/>
            <w:vAlign w:val="bottom"/>
          </w:tcPr>
          <w:p w14:paraId="29D8A051" w14:textId="64F39FA9"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16%</w:t>
            </w:r>
          </w:p>
        </w:tc>
        <w:tc>
          <w:tcPr>
            <w:tcW w:w="980" w:type="dxa"/>
            <w:shd w:val="clear" w:color="auto" w:fill="auto"/>
            <w:noWrap/>
            <w:vAlign w:val="bottom"/>
            <w:hideMark/>
          </w:tcPr>
          <w:p w14:paraId="283A6AF5"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14</w:t>
            </w:r>
          </w:p>
        </w:tc>
        <w:tc>
          <w:tcPr>
            <w:tcW w:w="1094" w:type="dxa"/>
            <w:shd w:val="clear" w:color="auto" w:fill="auto"/>
            <w:noWrap/>
            <w:vAlign w:val="bottom"/>
            <w:hideMark/>
          </w:tcPr>
          <w:p w14:paraId="6425F59E"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22%</w:t>
            </w:r>
          </w:p>
        </w:tc>
      </w:tr>
      <w:tr w:rsidR="00BF1507" w:rsidRPr="00BF1507" w14:paraId="7AFEF11C" w14:textId="77777777" w:rsidTr="00FF5DA9">
        <w:trPr>
          <w:trHeight w:hRule="exact" w:val="255"/>
        </w:trPr>
        <w:tc>
          <w:tcPr>
            <w:tcW w:w="3460" w:type="dxa"/>
            <w:shd w:val="clear" w:color="auto" w:fill="auto"/>
            <w:noWrap/>
            <w:vAlign w:val="bottom"/>
            <w:hideMark/>
          </w:tcPr>
          <w:p w14:paraId="5B857F1C" w14:textId="77777777"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Skilled trades</w:t>
            </w:r>
          </w:p>
        </w:tc>
        <w:tc>
          <w:tcPr>
            <w:tcW w:w="755" w:type="dxa"/>
            <w:vAlign w:val="bottom"/>
          </w:tcPr>
          <w:p w14:paraId="48C3AF7F" w14:textId="50153D91"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16</w:t>
            </w:r>
          </w:p>
        </w:tc>
        <w:tc>
          <w:tcPr>
            <w:tcW w:w="1094" w:type="dxa"/>
            <w:vAlign w:val="bottom"/>
          </w:tcPr>
          <w:p w14:paraId="3CB54FA9" w14:textId="7140FDB8" w:rsidR="00BF1507" w:rsidRPr="00BF1507" w:rsidRDefault="00BF1507" w:rsidP="00BF1507">
            <w:pPr>
              <w:spacing w:after="0" w:line="240" w:lineRule="auto"/>
              <w:rPr>
                <w:rFonts w:eastAsia="Times New Roman" w:cstheme="minorHAnsi"/>
                <w:color w:val="000000"/>
                <w:lang w:eastAsia="en-GB"/>
              </w:rPr>
            </w:pPr>
            <w:r w:rsidRPr="00BF1507">
              <w:rPr>
                <w:rFonts w:eastAsia="Times New Roman" w:cstheme="minorHAnsi"/>
                <w:color w:val="000000"/>
                <w:lang w:eastAsia="en-GB"/>
              </w:rPr>
              <w:t>12%</w:t>
            </w:r>
          </w:p>
        </w:tc>
        <w:tc>
          <w:tcPr>
            <w:tcW w:w="980" w:type="dxa"/>
            <w:shd w:val="clear" w:color="auto" w:fill="auto"/>
            <w:noWrap/>
            <w:vAlign w:val="bottom"/>
            <w:hideMark/>
          </w:tcPr>
          <w:p w14:paraId="65781976"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3</w:t>
            </w:r>
          </w:p>
        </w:tc>
        <w:tc>
          <w:tcPr>
            <w:tcW w:w="1094" w:type="dxa"/>
            <w:shd w:val="clear" w:color="auto" w:fill="auto"/>
            <w:noWrap/>
            <w:vAlign w:val="bottom"/>
            <w:hideMark/>
          </w:tcPr>
          <w:p w14:paraId="4B75A31A"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5%</w:t>
            </w:r>
          </w:p>
        </w:tc>
      </w:tr>
      <w:tr w:rsidR="00BF1507" w:rsidRPr="00BF1507" w14:paraId="50CD51F5" w14:textId="77777777" w:rsidTr="00FF5DA9">
        <w:trPr>
          <w:trHeight w:hRule="exact" w:val="255"/>
        </w:trPr>
        <w:tc>
          <w:tcPr>
            <w:tcW w:w="3460" w:type="dxa"/>
            <w:shd w:val="clear" w:color="auto" w:fill="auto"/>
            <w:noWrap/>
            <w:vAlign w:val="bottom"/>
            <w:hideMark/>
          </w:tcPr>
          <w:p w14:paraId="2174C91E" w14:textId="77777777" w:rsidR="00BF1507" w:rsidRPr="00BF1507" w:rsidRDefault="00BF1507" w:rsidP="00BF1507">
            <w:pPr>
              <w:spacing w:after="0" w:line="240" w:lineRule="auto"/>
              <w:jc w:val="right"/>
              <w:rPr>
                <w:rFonts w:eastAsia="Times New Roman" w:cstheme="minorHAnsi"/>
                <w:color w:val="000000"/>
                <w:lang w:eastAsia="en-GB"/>
              </w:rPr>
            </w:pPr>
          </w:p>
        </w:tc>
        <w:tc>
          <w:tcPr>
            <w:tcW w:w="755" w:type="dxa"/>
            <w:vAlign w:val="bottom"/>
          </w:tcPr>
          <w:p w14:paraId="020638E9" w14:textId="59E7CE4C" w:rsidR="00BF1507" w:rsidRPr="00BF1507" w:rsidRDefault="00BF1507" w:rsidP="00BF1507">
            <w:pPr>
              <w:spacing w:after="0" w:line="240" w:lineRule="auto"/>
              <w:rPr>
                <w:rFonts w:eastAsia="Times New Roman" w:cstheme="minorHAnsi"/>
                <w:lang w:eastAsia="en-GB"/>
              </w:rPr>
            </w:pPr>
            <w:r w:rsidRPr="00BF1507">
              <w:rPr>
                <w:rFonts w:eastAsia="Times New Roman" w:cstheme="minorHAnsi"/>
                <w:color w:val="000000"/>
                <w:lang w:eastAsia="en-GB"/>
              </w:rPr>
              <w:t>129</w:t>
            </w:r>
          </w:p>
        </w:tc>
        <w:tc>
          <w:tcPr>
            <w:tcW w:w="1094" w:type="dxa"/>
          </w:tcPr>
          <w:p w14:paraId="331E1D2E" w14:textId="1B5AB609" w:rsidR="00BF1507" w:rsidRPr="00BF1507" w:rsidRDefault="00BF1507" w:rsidP="00BF1507">
            <w:pPr>
              <w:spacing w:after="0" w:line="240" w:lineRule="auto"/>
              <w:rPr>
                <w:rFonts w:eastAsia="Times New Roman" w:cstheme="minorHAnsi"/>
                <w:lang w:eastAsia="en-GB"/>
              </w:rPr>
            </w:pPr>
          </w:p>
        </w:tc>
        <w:tc>
          <w:tcPr>
            <w:tcW w:w="980" w:type="dxa"/>
            <w:shd w:val="clear" w:color="auto" w:fill="auto"/>
            <w:noWrap/>
            <w:vAlign w:val="bottom"/>
            <w:hideMark/>
          </w:tcPr>
          <w:p w14:paraId="0A1F1CBB" w14:textId="77777777" w:rsidR="00BF1507" w:rsidRPr="00BF1507" w:rsidRDefault="00BF1507" w:rsidP="00BF1507">
            <w:pPr>
              <w:spacing w:after="0" w:line="240" w:lineRule="auto"/>
              <w:jc w:val="right"/>
              <w:rPr>
                <w:rFonts w:eastAsia="Times New Roman" w:cstheme="minorHAnsi"/>
                <w:color w:val="000000"/>
                <w:lang w:eastAsia="en-GB"/>
              </w:rPr>
            </w:pPr>
            <w:r w:rsidRPr="00BF1507">
              <w:rPr>
                <w:rFonts w:eastAsia="Times New Roman" w:cstheme="minorHAnsi"/>
                <w:color w:val="000000"/>
                <w:lang w:eastAsia="en-GB"/>
              </w:rPr>
              <w:t>65</w:t>
            </w:r>
          </w:p>
        </w:tc>
        <w:tc>
          <w:tcPr>
            <w:tcW w:w="1094" w:type="dxa"/>
            <w:shd w:val="clear" w:color="auto" w:fill="auto"/>
            <w:noWrap/>
            <w:vAlign w:val="bottom"/>
            <w:hideMark/>
          </w:tcPr>
          <w:p w14:paraId="669DDA51" w14:textId="77777777" w:rsidR="00BF1507" w:rsidRPr="00BF1507" w:rsidRDefault="00BF1507" w:rsidP="00BF1507">
            <w:pPr>
              <w:spacing w:after="0" w:line="240" w:lineRule="auto"/>
              <w:jc w:val="right"/>
              <w:rPr>
                <w:rFonts w:eastAsia="Times New Roman" w:cstheme="minorHAnsi"/>
                <w:color w:val="000000"/>
                <w:lang w:eastAsia="en-GB"/>
              </w:rPr>
            </w:pPr>
          </w:p>
        </w:tc>
      </w:tr>
    </w:tbl>
    <w:p w14:paraId="144384BF" w14:textId="68BAFAE5" w:rsidR="00BF1507" w:rsidRDefault="00FF5DA9">
      <w:r>
        <w:t>Source: Caselink</w:t>
      </w:r>
    </w:p>
    <w:p w14:paraId="68381F92" w14:textId="7EA18544" w:rsidR="00FF5DA9" w:rsidRDefault="00FF5DA9">
      <w:r>
        <w:t xml:space="preserve">From this we can see that </w:t>
      </w:r>
      <w:r w:rsidR="00265A59">
        <w:t xml:space="preserve">there were far fewer jobs in Skilled Trades, </w:t>
      </w:r>
      <w:r w:rsidR="004853B0">
        <w:t xml:space="preserve">Childcare </w:t>
      </w:r>
      <w:r w:rsidR="0030665F">
        <w:t>and Administration and Secretarial</w:t>
      </w:r>
      <w:r w:rsidR="00A7756C">
        <w:t>. The reverse is the case for Process, Plant</w:t>
      </w:r>
      <w:r w:rsidR="007D0777">
        <w:t>, Machine Operatives</w:t>
      </w:r>
      <w:r w:rsidR="0034312E">
        <w:t xml:space="preserve"> and Sales and Customer Services. </w:t>
      </w:r>
    </w:p>
    <w:p w14:paraId="283B77E0" w14:textId="3B9B7D8C" w:rsidR="00413F10" w:rsidRDefault="00413F10" w:rsidP="00413F10">
      <w:pPr>
        <w:pStyle w:val="Heading2"/>
      </w:pPr>
      <w:r w:rsidRPr="00D22DB8">
        <w:t>COVID 19 Provider Response Survey</w:t>
      </w:r>
    </w:p>
    <w:p w14:paraId="3460FC7B" w14:textId="08B0774B" w:rsidR="00413F10" w:rsidRDefault="00153866" w:rsidP="00413F10">
      <w:pPr>
        <w:spacing w:after="0" w:line="276" w:lineRule="auto"/>
      </w:pPr>
      <w:r>
        <w:t xml:space="preserve">Towards the end of May and into the start of June </w:t>
      </w:r>
      <w:r w:rsidR="00413F10">
        <w:t xml:space="preserve">CCP </w:t>
      </w:r>
      <w:r>
        <w:t xml:space="preserve">looked to get a </w:t>
      </w:r>
      <w:r w:rsidR="00413F10">
        <w:t xml:space="preserve">provider’s perspective on lockdown working and how the “new normal” </w:t>
      </w:r>
      <w:r>
        <w:t xml:space="preserve">was </w:t>
      </w:r>
      <w:r w:rsidR="00067109">
        <w:t>impacting on the way organisations were operating</w:t>
      </w:r>
      <w:r w:rsidR="00413F10">
        <w:t xml:space="preserve">. </w:t>
      </w:r>
      <w:r w:rsidR="005B50AD">
        <w:t xml:space="preserve">Primarily this was achieved through a </w:t>
      </w:r>
      <w:r w:rsidR="00413F10">
        <w:t xml:space="preserve">survey </w:t>
      </w:r>
      <w:r w:rsidR="00644A3D">
        <w:t>that was sent to Edinburgh providers in early June.</w:t>
      </w:r>
      <w:r w:rsidR="00E85031">
        <w:t xml:space="preserve"> </w:t>
      </w:r>
      <w:r w:rsidR="002D1C2F">
        <w:t>Twelve p</w:t>
      </w:r>
      <w:r w:rsidR="002D1C2F" w:rsidRPr="002D1C2F">
        <w:rPr>
          <w:rFonts w:ascii="Calibri" w:eastAsia="Calibri" w:hAnsi="Calibri" w:cs="Times New Roman"/>
        </w:rPr>
        <w:t>roviders completed the survey, which covers a total of 18 funded projects</w:t>
      </w:r>
      <w:r w:rsidR="00037CA4">
        <w:rPr>
          <w:rFonts w:ascii="Calibri" w:eastAsia="Calibri" w:hAnsi="Calibri" w:cs="Times New Roman"/>
        </w:rPr>
        <w:t xml:space="preserve">. </w:t>
      </w:r>
      <w:r w:rsidR="00E85031">
        <w:t>Three questions were asked</w:t>
      </w:r>
      <w:r w:rsidR="0046066D">
        <w:t>,</w:t>
      </w:r>
      <w:r w:rsidR="00E85031">
        <w:t xml:space="preserve"> and the responses are pulled together and summarised below.</w:t>
      </w:r>
    </w:p>
    <w:p w14:paraId="6B16E33B" w14:textId="50E8E4C2" w:rsidR="00744EBF" w:rsidRDefault="001E1AEA" w:rsidP="00B878A7">
      <w:pPr>
        <w:spacing w:line="276" w:lineRule="auto"/>
      </w:pPr>
      <w:r>
        <w:t xml:space="preserve"> </w:t>
      </w:r>
    </w:p>
    <w:p w14:paraId="235E801E" w14:textId="575DCBB2" w:rsidR="00744EBF" w:rsidRDefault="00744EBF" w:rsidP="00B878A7">
      <w:pPr>
        <w:spacing w:line="276" w:lineRule="auto"/>
        <w:rPr>
          <w:i/>
          <w:iCs/>
        </w:rPr>
      </w:pPr>
      <w:r>
        <w:rPr>
          <w:i/>
          <w:iCs/>
        </w:rPr>
        <w:t xml:space="preserve">Service Focus </w:t>
      </w:r>
    </w:p>
    <w:p w14:paraId="55941341" w14:textId="77777777" w:rsidR="00051F4A" w:rsidRDefault="003D2A7F" w:rsidP="00E85031">
      <w:pPr>
        <w:spacing w:line="276" w:lineRule="auto"/>
      </w:pPr>
      <w:r>
        <w:t xml:space="preserve">As lockdown </w:t>
      </w:r>
      <w:r w:rsidR="003951BF">
        <w:t xml:space="preserve">started the </w:t>
      </w:r>
      <w:r w:rsidR="001E1AEA">
        <w:t xml:space="preserve">focus of </w:t>
      </w:r>
      <w:r w:rsidR="003951BF">
        <w:t>support delivered c</w:t>
      </w:r>
      <w:r w:rsidR="001E1AEA">
        <w:t>hanged fro</w:t>
      </w:r>
      <w:r w:rsidR="009E5DC7">
        <w:t xml:space="preserve">m employability to the health and wellbeing of clients, especially mental health given the vulnerability of a large percentage of </w:t>
      </w:r>
      <w:r w:rsidR="001E1AEA">
        <w:t>those that are supported</w:t>
      </w:r>
      <w:r w:rsidR="009E5DC7">
        <w:t>.</w:t>
      </w:r>
      <w:r w:rsidR="00BF241E">
        <w:t xml:space="preserve"> The caseworkers did tend to be more proactive </w:t>
      </w:r>
      <w:r w:rsidR="005F18D6">
        <w:t xml:space="preserve">looking to engage with all clients, whether they are actively seeking support or </w:t>
      </w:r>
      <w:r w:rsidR="00A82908">
        <w:t>not. C</w:t>
      </w:r>
      <w:r w:rsidR="005F18D6">
        <w:t xml:space="preserve">aseworkers </w:t>
      </w:r>
      <w:r w:rsidR="00A82908">
        <w:t xml:space="preserve">have tended to </w:t>
      </w:r>
      <w:r w:rsidR="005F18D6">
        <w:t xml:space="preserve">reach out to those more isolated </w:t>
      </w:r>
      <w:r w:rsidR="00A82908">
        <w:t>c</w:t>
      </w:r>
      <w:r w:rsidR="005F18D6">
        <w:t>hecking on their wellbeing.</w:t>
      </w:r>
      <w:r w:rsidR="00B878A7" w:rsidRPr="00B878A7">
        <w:t xml:space="preserve"> </w:t>
      </w:r>
      <w:r w:rsidR="00B878A7">
        <w:t>Support for clients has included food parcels/vouchers, provision of home items, support with bills and utilities</w:t>
      </w:r>
      <w:r w:rsidR="00EC4FFF">
        <w:t>.</w:t>
      </w:r>
    </w:p>
    <w:p w14:paraId="71227F31" w14:textId="696D4631" w:rsidR="00E85031" w:rsidRDefault="0024267D" w:rsidP="00E85031">
      <w:pPr>
        <w:spacing w:line="276" w:lineRule="auto"/>
      </w:pPr>
      <w:r>
        <w:t>As the lockdown progressed, some organisations moved to reintroduce employability support and encourage clients to continue to progress where possible</w:t>
      </w:r>
      <w:r w:rsidR="00BB73F7">
        <w:t xml:space="preserve">. This included signposting </w:t>
      </w:r>
      <w:r>
        <w:t>partner organisations providing talks, hosting employability groups etc.</w:t>
      </w:r>
    </w:p>
    <w:p w14:paraId="0230C4E8" w14:textId="2FB3EFFD" w:rsidR="00E85031" w:rsidRDefault="00F750B8" w:rsidP="00E85031">
      <w:pPr>
        <w:spacing w:line="276" w:lineRule="auto"/>
      </w:pPr>
      <w:r>
        <w:t>Looking more specifically at how projects might return to ‘Face to Face’ work, the survey asked about how services will instigate the new COVID related Health and Safety protocols.</w:t>
      </w:r>
      <w:r w:rsidRPr="00D44B02">
        <w:t xml:space="preserve"> </w:t>
      </w:r>
      <w:r w:rsidR="00E81310">
        <w:t xml:space="preserve">Some mentioned that </w:t>
      </w:r>
      <w:r w:rsidR="00086D3D">
        <w:t>w</w:t>
      </w:r>
      <w:r w:rsidR="0073224A">
        <w:t xml:space="preserve">ork has begun with employers who offer placements to clients about supporting them with the reintroduction of placements and </w:t>
      </w:r>
      <w:r w:rsidR="00E81310">
        <w:t xml:space="preserve">looking at what changes may be </w:t>
      </w:r>
      <w:r w:rsidR="0073224A">
        <w:t xml:space="preserve">required. Similarly, they have begun with supporting organisations who rely on volunteers, again </w:t>
      </w:r>
      <w:r w:rsidR="000C333F">
        <w:t xml:space="preserve">considering </w:t>
      </w:r>
      <w:r w:rsidR="0073224A">
        <w:t>the changes which will take place.</w:t>
      </w:r>
      <w:r w:rsidR="000D6C93" w:rsidRPr="000D6C93">
        <w:t xml:space="preserve"> </w:t>
      </w:r>
    </w:p>
    <w:p w14:paraId="4552A09B" w14:textId="58F32073" w:rsidR="00437192" w:rsidRDefault="00437192" w:rsidP="00E85031">
      <w:r>
        <w:t>Some of those that responded said that the relaxation of lockdown will allow providers to see if the employment landscape has changed. For example, jobs will be easier to find in some areas (nursing, care homes</w:t>
      </w:r>
      <w:r w:rsidR="00F95346">
        <w:t>,</w:t>
      </w:r>
      <w:r>
        <w:t xml:space="preserve"> etc</w:t>
      </w:r>
      <w:r w:rsidR="00F95346">
        <w:t>.</w:t>
      </w:r>
      <w:r>
        <w:t>) and less available in others. Those that responded anticipated that there will be redundancies and the focus of support may need to change.</w:t>
      </w:r>
    </w:p>
    <w:p w14:paraId="76B944C6" w14:textId="77777777" w:rsidR="0073224A" w:rsidRDefault="0073224A" w:rsidP="0024267D">
      <w:pPr>
        <w:spacing w:line="276" w:lineRule="auto"/>
      </w:pPr>
    </w:p>
    <w:p w14:paraId="3387D284" w14:textId="77777777" w:rsidR="00744EBF" w:rsidRPr="00744EBF" w:rsidRDefault="00744EBF" w:rsidP="0098646E">
      <w:pPr>
        <w:spacing w:line="276" w:lineRule="auto"/>
        <w:rPr>
          <w:i/>
          <w:iCs/>
        </w:rPr>
      </w:pPr>
      <w:r w:rsidRPr="00744EBF">
        <w:rPr>
          <w:i/>
          <w:iCs/>
        </w:rPr>
        <w:t>Service Delivery</w:t>
      </w:r>
    </w:p>
    <w:p w14:paraId="5D8823B7" w14:textId="7846B76C" w:rsidR="0098646E" w:rsidRDefault="0014499A" w:rsidP="0098646E">
      <w:pPr>
        <w:spacing w:line="276" w:lineRule="auto"/>
      </w:pPr>
      <w:r>
        <w:t xml:space="preserve">Providers have been innovative in their ways of communicating with clients – Facebook, Zoom, Teams, Twitter, WhatsApp and even gaming apps such as Discord have been used alongside the traditional phone calls/texts. This has also helped providers deliver across multiple areas and </w:t>
      </w:r>
      <w:r w:rsidR="00827E90">
        <w:t>for those that work with y</w:t>
      </w:r>
      <w:r w:rsidR="00F05925">
        <w:t xml:space="preserve">oung people it has meant that they have been able to </w:t>
      </w:r>
      <w:r>
        <w:t>break geographical boundaries</w:t>
      </w:r>
      <w:r w:rsidR="0098646E">
        <w:t>.</w:t>
      </w:r>
      <w:r w:rsidR="0098646E" w:rsidRPr="0098646E">
        <w:t xml:space="preserve"> </w:t>
      </w:r>
      <w:r w:rsidR="0098646E">
        <w:t>However not all clients engaged have the digital skills or access to equipment to be supported virtually, which many have found challenging.</w:t>
      </w:r>
    </w:p>
    <w:p w14:paraId="584F2CE3" w14:textId="77777777" w:rsidR="00FC75E0" w:rsidRDefault="00E76761" w:rsidP="0082194F">
      <w:pPr>
        <w:spacing w:line="276" w:lineRule="auto"/>
      </w:pPr>
      <w:r>
        <w:t>As lockdown has eased</w:t>
      </w:r>
      <w:r w:rsidR="003A1EF6">
        <w:t xml:space="preserve">, </w:t>
      </w:r>
      <w:r w:rsidR="0082194F">
        <w:t>meetings with clients in public and at home (where appropriate) is on the agenda for some organisations, however for others the vulnerability of their clients</w:t>
      </w:r>
      <w:r w:rsidR="007E57B6">
        <w:t>,</w:t>
      </w:r>
      <w:r w:rsidR="0082194F">
        <w:t xml:space="preserve"> from a health perspective</w:t>
      </w:r>
      <w:r w:rsidR="007E57B6">
        <w:t>,</w:t>
      </w:r>
      <w:r w:rsidR="0082194F">
        <w:t xml:space="preserve"> makes this impossible.</w:t>
      </w:r>
      <w:r w:rsidR="0082194F" w:rsidRPr="00D102AE">
        <w:t xml:space="preserve"> </w:t>
      </w:r>
      <w:r w:rsidR="0073224A">
        <w:t>Staff are also concerned about many people’s ability to adapt to things moving back to any kind of normality, especially those with anxiety issues.</w:t>
      </w:r>
      <w:r w:rsidR="00F95346">
        <w:t xml:space="preserve"> </w:t>
      </w:r>
      <w:r w:rsidR="0082194F">
        <w:t>The responses indicated that any meetings with client’s face to face will be risk assessed on an individual basis.</w:t>
      </w:r>
      <w:r w:rsidR="00FC75E0">
        <w:t xml:space="preserve"> </w:t>
      </w:r>
    </w:p>
    <w:p w14:paraId="4C909DDF" w14:textId="0D02E78A" w:rsidR="0082194F" w:rsidRDefault="0082194F" w:rsidP="0082194F">
      <w:pPr>
        <w:spacing w:line="276" w:lineRule="auto"/>
      </w:pPr>
      <w:r>
        <w:t>Although there may be moves back to a similar service to that which existed previously, all organisations are keen to continue to deliver virtually</w:t>
      </w:r>
      <w:r w:rsidR="00B26E80">
        <w:t>,</w:t>
      </w:r>
      <w:r>
        <w:t xml:space="preserve"> regardless of lockdown easing</w:t>
      </w:r>
      <w:r w:rsidR="00D265BF">
        <w:t xml:space="preserve">. </w:t>
      </w:r>
      <w:r>
        <w:t xml:space="preserve"> </w:t>
      </w:r>
    </w:p>
    <w:p w14:paraId="489F461A" w14:textId="0908BAD4" w:rsidR="00687BCA" w:rsidRPr="00BA1F0F" w:rsidRDefault="00687BCA" w:rsidP="00687BCA">
      <w:pPr>
        <w:spacing w:after="0" w:line="276" w:lineRule="auto"/>
      </w:pPr>
      <w:r>
        <w:t xml:space="preserve">Most providers are looking to ensure that meetings will require an appointment and no drop ins will be conducted as </w:t>
      </w:r>
      <w:r w:rsidR="00866CF7">
        <w:t xml:space="preserve">this would be </w:t>
      </w:r>
      <w:r>
        <w:t>unmanageable when looking to control numbers.</w:t>
      </w:r>
      <w:r w:rsidRPr="00BA1F0F">
        <w:t xml:space="preserve"> Delivery of programmes is also being adapted – numbers will be reduced in groups; days </w:t>
      </w:r>
      <w:proofErr w:type="gramStart"/>
      <w:r w:rsidRPr="00BA1F0F">
        <w:t>altered</w:t>
      </w:r>
      <w:proofErr w:type="gramEnd"/>
      <w:r w:rsidRPr="00BA1F0F">
        <w:t xml:space="preserve"> and new activities planned where the impact of COVID19 means the previously stated activity is no longer possible.</w:t>
      </w:r>
    </w:p>
    <w:p w14:paraId="58BA73C4" w14:textId="77777777" w:rsidR="00021BF6" w:rsidRDefault="00021BF6" w:rsidP="0014499A">
      <w:pPr>
        <w:spacing w:after="0" w:line="276" w:lineRule="auto"/>
      </w:pPr>
    </w:p>
    <w:p w14:paraId="67D0EFDC" w14:textId="77777777" w:rsidR="00021BF6" w:rsidRDefault="0024267D" w:rsidP="00021BF6">
      <w:pPr>
        <w:spacing w:line="276" w:lineRule="auto"/>
        <w:rPr>
          <w:i/>
          <w:iCs/>
        </w:rPr>
      </w:pPr>
      <w:r w:rsidRPr="0024267D">
        <w:rPr>
          <w:i/>
          <w:iCs/>
        </w:rPr>
        <w:t xml:space="preserve">Staff Safety </w:t>
      </w:r>
      <w:r w:rsidR="007A2F23">
        <w:rPr>
          <w:i/>
          <w:iCs/>
        </w:rPr>
        <w:t>and Well Being</w:t>
      </w:r>
    </w:p>
    <w:p w14:paraId="48CD8C5E" w14:textId="77777777" w:rsidR="001071EA" w:rsidRDefault="001F7ECF" w:rsidP="001071EA">
      <w:pPr>
        <w:spacing w:line="276" w:lineRule="auto"/>
      </w:pPr>
      <w:bookmarkStart w:id="4" w:name="_Hlk48028501"/>
      <w:r>
        <w:t>Providers have also had to ensure staff are safe and comfortable working from home, with regular virtual meetings taking place</w:t>
      </w:r>
      <w:r w:rsidR="0024061F">
        <w:t xml:space="preserve"> as well</w:t>
      </w:r>
      <w:r>
        <w:t xml:space="preserve"> as social activities</w:t>
      </w:r>
      <w:r w:rsidR="00021BF6">
        <w:t xml:space="preserve"> to ensure staff remain connected</w:t>
      </w:r>
      <w:r>
        <w:t>.</w:t>
      </w:r>
      <w:r w:rsidR="0095761B" w:rsidRPr="0095761B">
        <w:t xml:space="preserve"> </w:t>
      </w:r>
      <w:r w:rsidR="0095761B">
        <w:t xml:space="preserve">Staff have also been using the time to upskill and </w:t>
      </w:r>
      <w:r w:rsidR="00F95346">
        <w:t xml:space="preserve">as well as </w:t>
      </w:r>
      <w:r w:rsidR="00941895">
        <w:t>v</w:t>
      </w:r>
      <w:r w:rsidR="0095761B">
        <w:t>olunteering to support the COVID19 crisis</w:t>
      </w:r>
      <w:r w:rsidR="00F95346">
        <w:t xml:space="preserve"> in their localities. </w:t>
      </w:r>
    </w:p>
    <w:p w14:paraId="426F8ACE" w14:textId="28831BC8" w:rsidR="00E85031" w:rsidRDefault="000D6C93" w:rsidP="001071EA">
      <w:pPr>
        <w:spacing w:after="0" w:line="276" w:lineRule="auto"/>
      </w:pPr>
      <w:r w:rsidRPr="00D44B02">
        <w:t>Risk assessment of premises and Health and Safety audits are high on all providers agendas prior to returning to work.</w:t>
      </w:r>
      <w:r w:rsidRPr="00611CE3">
        <w:t xml:space="preserve"> PPE is also a high priority where required, with all premises having sanitiser and increased cleaning</w:t>
      </w:r>
      <w:r w:rsidR="00F044EC">
        <w:t xml:space="preserve">. </w:t>
      </w:r>
      <w:r>
        <w:t>Some</w:t>
      </w:r>
      <w:r w:rsidRPr="00611CE3">
        <w:t xml:space="preserve"> providers installing protective scree</w:t>
      </w:r>
      <w:r>
        <w:t>n</w:t>
      </w:r>
      <w:r w:rsidRPr="00611CE3">
        <w:t>s at desks and workstations.</w:t>
      </w:r>
    </w:p>
    <w:p w14:paraId="0F0933E7" w14:textId="2EE02183" w:rsidR="003E4EEB" w:rsidRDefault="003E4EEB" w:rsidP="00E85031">
      <w:pPr>
        <w:spacing w:line="276" w:lineRule="auto"/>
      </w:pPr>
      <w:r w:rsidRPr="00611CE3">
        <w:t xml:space="preserve">The limited space is raised as an issue regularly </w:t>
      </w:r>
      <w:r w:rsidR="00250692">
        <w:t xml:space="preserve">and </w:t>
      </w:r>
      <w:r w:rsidRPr="00611CE3">
        <w:t>all providers will be limiting the number of service users/staff in premises at any one time.</w:t>
      </w:r>
      <w:r>
        <w:t xml:space="preserve"> </w:t>
      </w:r>
      <w:r w:rsidRPr="00611CE3">
        <w:t>There will still be a phased return with many planning to have a blend of home and office working.</w:t>
      </w:r>
      <w:r w:rsidRPr="00B634CF">
        <w:t xml:space="preserve"> Some larger organisations are considering leasing more space at least on a temporary basis.</w:t>
      </w:r>
    </w:p>
    <w:bookmarkEnd w:id="4"/>
    <w:p w14:paraId="67725A4E" w14:textId="28FF59A0" w:rsidR="00FF613D" w:rsidRDefault="00FF613D" w:rsidP="00E85031">
      <w:pPr>
        <w:spacing w:line="276" w:lineRule="auto"/>
      </w:pPr>
    </w:p>
    <w:p w14:paraId="671E0931" w14:textId="402C3ECD" w:rsidR="00FF613D" w:rsidRDefault="00FF613D" w:rsidP="00201DF9">
      <w:pPr>
        <w:pStyle w:val="Heading2"/>
      </w:pPr>
      <w:r>
        <w:t>Conclusion</w:t>
      </w:r>
    </w:p>
    <w:p w14:paraId="7C720C65" w14:textId="281202C6" w:rsidR="00FF613D" w:rsidRDefault="00FF613D" w:rsidP="00E85031">
      <w:pPr>
        <w:spacing w:line="276" w:lineRule="auto"/>
      </w:pPr>
      <w:r>
        <w:t xml:space="preserve">The COVID19 outbreak in general and the lockdown </w:t>
      </w:r>
      <w:r w:rsidR="00F45A09">
        <w:t xml:space="preserve">approaches </w:t>
      </w:r>
      <w:r w:rsidR="0086743F">
        <w:t xml:space="preserve">that </w:t>
      </w:r>
      <w:r w:rsidR="00F45A09">
        <w:t xml:space="preserve">followed </w:t>
      </w:r>
      <w:r w:rsidR="002B53F9">
        <w:t xml:space="preserve">to tackle the health </w:t>
      </w:r>
      <w:r w:rsidR="00AD07D0">
        <w:t xml:space="preserve">pandemic have had a significant impact on the economy in general and </w:t>
      </w:r>
      <w:r w:rsidR="00B543E1">
        <w:t xml:space="preserve">on the services to support employability in Edinburgh and beyond. We can see from the data in this paper that compared to the same period last year new Engagements </w:t>
      </w:r>
      <w:r w:rsidR="00D77C9A">
        <w:t xml:space="preserve">in Edinburgh </w:t>
      </w:r>
      <w:r w:rsidR="00B543E1">
        <w:t xml:space="preserve">have fallen by </w:t>
      </w:r>
      <w:r w:rsidR="00B80EDC">
        <w:t>59% and outcomes have fallen by 71%</w:t>
      </w:r>
      <w:r w:rsidR="00D77C9A">
        <w:t xml:space="preserve">. </w:t>
      </w:r>
    </w:p>
    <w:p w14:paraId="35D8AD7D" w14:textId="0FD6CACF" w:rsidR="00D77C9A" w:rsidRDefault="00253E00" w:rsidP="00E85031">
      <w:pPr>
        <w:spacing w:line="276" w:lineRule="auto"/>
      </w:pPr>
      <w:r>
        <w:t>From the data on the support offered</w:t>
      </w:r>
      <w:r w:rsidR="00F8508B">
        <w:t xml:space="preserve"> </w:t>
      </w:r>
      <w:r>
        <w:t>and from the survey of Caselink providers</w:t>
      </w:r>
      <w:r w:rsidR="0036238D">
        <w:t>,</w:t>
      </w:r>
      <w:r>
        <w:t xml:space="preserve"> </w:t>
      </w:r>
      <w:proofErr w:type="gramStart"/>
      <w:r>
        <w:t>it is clear that the</w:t>
      </w:r>
      <w:proofErr w:type="gramEnd"/>
      <w:r>
        <w:t xml:space="preserve"> organisations delivering as</w:t>
      </w:r>
      <w:r w:rsidR="000F0EC9">
        <w:t>sistance have continued to support clients</w:t>
      </w:r>
      <w:r w:rsidR="000375BF">
        <w:t>. Often this support has been around mental health</w:t>
      </w:r>
      <w:r w:rsidR="00A02E4F">
        <w:t xml:space="preserve"> and isolation as well as </w:t>
      </w:r>
      <w:r w:rsidR="000375BF">
        <w:t xml:space="preserve">practical issues around </w:t>
      </w:r>
      <w:r w:rsidR="00E86985">
        <w:t>food and bills</w:t>
      </w:r>
      <w:r w:rsidR="00843D15">
        <w:t xml:space="preserve">. The </w:t>
      </w:r>
      <w:r w:rsidR="003C3F31">
        <w:t>organisations</w:t>
      </w:r>
      <w:r w:rsidR="00843D15">
        <w:t xml:space="preserve"> are </w:t>
      </w:r>
      <w:r w:rsidR="00A23AEE">
        <w:t xml:space="preserve">in the process of examining what they will need to </w:t>
      </w:r>
      <w:r w:rsidR="002571EC">
        <w:t xml:space="preserve">do to be </w:t>
      </w:r>
      <w:r w:rsidR="00A23AEE">
        <w:t xml:space="preserve">able to </w:t>
      </w:r>
      <w:r w:rsidR="003C3F31">
        <w:t>return to something close to the type of service that they would have been able to offer in 2019</w:t>
      </w:r>
      <w:r w:rsidR="002571EC">
        <w:t>.</w:t>
      </w:r>
      <w:r w:rsidR="00FB0346">
        <w:t xml:space="preserve"> It will be interesting to see h</w:t>
      </w:r>
      <w:r w:rsidR="00ED7D84">
        <w:t xml:space="preserve">ow this develops over the coming months. </w:t>
      </w:r>
    </w:p>
    <w:p w14:paraId="117610FD" w14:textId="77777777" w:rsidR="00E30D06" w:rsidRDefault="00E30D06" w:rsidP="00213240">
      <w:pPr>
        <w:spacing w:line="276" w:lineRule="auto"/>
      </w:pPr>
    </w:p>
    <w:p w14:paraId="354D3BD8" w14:textId="77777777" w:rsidR="00E30D06" w:rsidRDefault="00E30D06" w:rsidP="00213240">
      <w:pPr>
        <w:spacing w:after="0" w:line="276" w:lineRule="auto"/>
      </w:pPr>
    </w:p>
    <w:p w14:paraId="08229C2C" w14:textId="77777777" w:rsidR="00BD4472" w:rsidRDefault="00BD4472" w:rsidP="00A32D40">
      <w:pPr>
        <w:spacing w:after="0" w:line="276" w:lineRule="auto"/>
      </w:pPr>
    </w:p>
    <w:p w14:paraId="016A4C44" w14:textId="15B48F95" w:rsidR="00BA1F0F" w:rsidRDefault="00BA1F0F" w:rsidP="00BA1F0F">
      <w:pPr>
        <w:pStyle w:val="ListParagraph"/>
        <w:spacing w:after="0" w:line="276" w:lineRule="auto"/>
      </w:pPr>
    </w:p>
    <w:p w14:paraId="356D546E" w14:textId="77777777" w:rsidR="00DE3C14" w:rsidRDefault="00DE3C14" w:rsidP="00DE3C14">
      <w:pPr>
        <w:spacing w:after="0" w:line="276" w:lineRule="auto"/>
      </w:pPr>
    </w:p>
    <w:p w14:paraId="1ED9110A" w14:textId="77777777" w:rsidR="00DE3C14" w:rsidRPr="00D22DB8" w:rsidRDefault="00DE3C14" w:rsidP="00DE3C14">
      <w:pPr>
        <w:spacing w:after="0" w:line="276" w:lineRule="auto"/>
      </w:pPr>
    </w:p>
    <w:p w14:paraId="4BE77221" w14:textId="77777777" w:rsidR="00DE3C14" w:rsidRDefault="00DE3C14"/>
    <w:sectPr w:rsidR="00DE3C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7245" w14:textId="77777777" w:rsidR="006B4935" w:rsidRDefault="006B4935" w:rsidP="00495DA2">
      <w:pPr>
        <w:spacing w:after="0" w:line="240" w:lineRule="auto"/>
      </w:pPr>
      <w:r>
        <w:separator/>
      </w:r>
    </w:p>
  </w:endnote>
  <w:endnote w:type="continuationSeparator" w:id="0">
    <w:p w14:paraId="485ABFD2" w14:textId="77777777" w:rsidR="006B4935" w:rsidRDefault="006B4935" w:rsidP="0049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9E747" w14:textId="77777777" w:rsidR="006B4935" w:rsidRDefault="006B4935" w:rsidP="00495DA2">
      <w:pPr>
        <w:spacing w:after="0" w:line="240" w:lineRule="auto"/>
      </w:pPr>
      <w:r>
        <w:separator/>
      </w:r>
    </w:p>
  </w:footnote>
  <w:footnote w:type="continuationSeparator" w:id="0">
    <w:p w14:paraId="2BA777CE" w14:textId="77777777" w:rsidR="006B4935" w:rsidRDefault="006B4935" w:rsidP="00495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4258"/>
    <w:multiLevelType w:val="hybridMultilevel"/>
    <w:tmpl w:val="E13E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70243"/>
    <w:multiLevelType w:val="hybridMultilevel"/>
    <w:tmpl w:val="240A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F28B1"/>
    <w:multiLevelType w:val="hybridMultilevel"/>
    <w:tmpl w:val="7F4C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46423"/>
    <w:multiLevelType w:val="hybridMultilevel"/>
    <w:tmpl w:val="B19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602CF"/>
    <w:multiLevelType w:val="hybridMultilevel"/>
    <w:tmpl w:val="B7CE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505"/>
    <w:multiLevelType w:val="hybridMultilevel"/>
    <w:tmpl w:val="B132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1445D0"/>
    <w:multiLevelType w:val="hybridMultilevel"/>
    <w:tmpl w:val="E40EB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98"/>
    <w:rsid w:val="000138D3"/>
    <w:rsid w:val="00021BF6"/>
    <w:rsid w:val="000254AC"/>
    <w:rsid w:val="0003038E"/>
    <w:rsid w:val="00032B61"/>
    <w:rsid w:val="000375BF"/>
    <w:rsid w:val="00037CA4"/>
    <w:rsid w:val="00040961"/>
    <w:rsid w:val="00051F4A"/>
    <w:rsid w:val="000636F6"/>
    <w:rsid w:val="00066E94"/>
    <w:rsid w:val="00067109"/>
    <w:rsid w:val="000742F2"/>
    <w:rsid w:val="00082B30"/>
    <w:rsid w:val="00086D3D"/>
    <w:rsid w:val="000A36DA"/>
    <w:rsid w:val="000A7825"/>
    <w:rsid w:val="000C0FFC"/>
    <w:rsid w:val="000C333F"/>
    <w:rsid w:val="000D4CDA"/>
    <w:rsid w:val="000D60A9"/>
    <w:rsid w:val="000D6A66"/>
    <w:rsid w:val="000D6C93"/>
    <w:rsid w:val="000F0EC9"/>
    <w:rsid w:val="000F2476"/>
    <w:rsid w:val="000F7E9F"/>
    <w:rsid w:val="00106790"/>
    <w:rsid w:val="001071EA"/>
    <w:rsid w:val="0011063F"/>
    <w:rsid w:val="00112C00"/>
    <w:rsid w:val="001355BE"/>
    <w:rsid w:val="001421A3"/>
    <w:rsid w:val="0014499A"/>
    <w:rsid w:val="00153866"/>
    <w:rsid w:val="00162FEE"/>
    <w:rsid w:val="00170424"/>
    <w:rsid w:val="0019172E"/>
    <w:rsid w:val="001B0839"/>
    <w:rsid w:val="001B55D6"/>
    <w:rsid w:val="001C03D8"/>
    <w:rsid w:val="001D5411"/>
    <w:rsid w:val="001D5818"/>
    <w:rsid w:val="001E1AEA"/>
    <w:rsid w:val="001F43AC"/>
    <w:rsid w:val="001F5698"/>
    <w:rsid w:val="001F7ECF"/>
    <w:rsid w:val="00201DF9"/>
    <w:rsid w:val="0020787F"/>
    <w:rsid w:val="00213240"/>
    <w:rsid w:val="002166A6"/>
    <w:rsid w:val="00232681"/>
    <w:rsid w:val="0024061F"/>
    <w:rsid w:val="0024267D"/>
    <w:rsid w:val="00250692"/>
    <w:rsid w:val="00253E00"/>
    <w:rsid w:val="002571EC"/>
    <w:rsid w:val="00260592"/>
    <w:rsid w:val="00265A59"/>
    <w:rsid w:val="002B53F9"/>
    <w:rsid w:val="002D1C2F"/>
    <w:rsid w:val="002D729F"/>
    <w:rsid w:val="0030665F"/>
    <w:rsid w:val="00341B7E"/>
    <w:rsid w:val="0034312E"/>
    <w:rsid w:val="00343B87"/>
    <w:rsid w:val="0036238D"/>
    <w:rsid w:val="00386E92"/>
    <w:rsid w:val="003951BF"/>
    <w:rsid w:val="003974C9"/>
    <w:rsid w:val="003A0484"/>
    <w:rsid w:val="003A1EF6"/>
    <w:rsid w:val="003A5902"/>
    <w:rsid w:val="003C3F31"/>
    <w:rsid w:val="003D2A7F"/>
    <w:rsid w:val="003D7469"/>
    <w:rsid w:val="003E4EEB"/>
    <w:rsid w:val="00413F10"/>
    <w:rsid w:val="00423E11"/>
    <w:rsid w:val="004303CF"/>
    <w:rsid w:val="00437192"/>
    <w:rsid w:val="00453640"/>
    <w:rsid w:val="0046066D"/>
    <w:rsid w:val="00460820"/>
    <w:rsid w:val="004708A7"/>
    <w:rsid w:val="004779CC"/>
    <w:rsid w:val="004853B0"/>
    <w:rsid w:val="00495DA2"/>
    <w:rsid w:val="004B6397"/>
    <w:rsid w:val="004C155D"/>
    <w:rsid w:val="004C181F"/>
    <w:rsid w:val="00526509"/>
    <w:rsid w:val="00536926"/>
    <w:rsid w:val="00540662"/>
    <w:rsid w:val="0054134C"/>
    <w:rsid w:val="00554535"/>
    <w:rsid w:val="00560BB5"/>
    <w:rsid w:val="00566469"/>
    <w:rsid w:val="00571101"/>
    <w:rsid w:val="00592F78"/>
    <w:rsid w:val="00595C6E"/>
    <w:rsid w:val="005A32F6"/>
    <w:rsid w:val="005B50AD"/>
    <w:rsid w:val="005F18D6"/>
    <w:rsid w:val="005F4385"/>
    <w:rsid w:val="005F7772"/>
    <w:rsid w:val="005F782D"/>
    <w:rsid w:val="00611CE3"/>
    <w:rsid w:val="00626F01"/>
    <w:rsid w:val="00636B5F"/>
    <w:rsid w:val="00637E57"/>
    <w:rsid w:val="00644A3D"/>
    <w:rsid w:val="00647A4E"/>
    <w:rsid w:val="0067168A"/>
    <w:rsid w:val="00671A22"/>
    <w:rsid w:val="00676248"/>
    <w:rsid w:val="00676B6F"/>
    <w:rsid w:val="00687BCA"/>
    <w:rsid w:val="00693115"/>
    <w:rsid w:val="00693857"/>
    <w:rsid w:val="006B4935"/>
    <w:rsid w:val="006B6100"/>
    <w:rsid w:val="006B745A"/>
    <w:rsid w:val="006C15B0"/>
    <w:rsid w:val="007123CC"/>
    <w:rsid w:val="00716F89"/>
    <w:rsid w:val="007260F4"/>
    <w:rsid w:val="0072683D"/>
    <w:rsid w:val="007277DD"/>
    <w:rsid w:val="0073224A"/>
    <w:rsid w:val="00744EBF"/>
    <w:rsid w:val="00751911"/>
    <w:rsid w:val="00752D4E"/>
    <w:rsid w:val="00761B3B"/>
    <w:rsid w:val="00764312"/>
    <w:rsid w:val="007654E1"/>
    <w:rsid w:val="007874FE"/>
    <w:rsid w:val="00791979"/>
    <w:rsid w:val="007A2F23"/>
    <w:rsid w:val="007B46D6"/>
    <w:rsid w:val="007C73A8"/>
    <w:rsid w:val="007D0777"/>
    <w:rsid w:val="007D4FFE"/>
    <w:rsid w:val="007E57B6"/>
    <w:rsid w:val="007E61F8"/>
    <w:rsid w:val="007F5E81"/>
    <w:rsid w:val="008067A4"/>
    <w:rsid w:val="00820544"/>
    <w:rsid w:val="0082194F"/>
    <w:rsid w:val="00827E90"/>
    <w:rsid w:val="00842D3D"/>
    <w:rsid w:val="00843D15"/>
    <w:rsid w:val="008550E6"/>
    <w:rsid w:val="008577B9"/>
    <w:rsid w:val="00866CF7"/>
    <w:rsid w:val="0086743F"/>
    <w:rsid w:val="00882569"/>
    <w:rsid w:val="00883DB3"/>
    <w:rsid w:val="00896937"/>
    <w:rsid w:val="00896F10"/>
    <w:rsid w:val="008A1959"/>
    <w:rsid w:val="008A4068"/>
    <w:rsid w:val="008A4391"/>
    <w:rsid w:val="008A4C3E"/>
    <w:rsid w:val="008B5B37"/>
    <w:rsid w:val="008C56FD"/>
    <w:rsid w:val="008D7E31"/>
    <w:rsid w:val="008F1625"/>
    <w:rsid w:val="009010CF"/>
    <w:rsid w:val="00913AC6"/>
    <w:rsid w:val="009200C6"/>
    <w:rsid w:val="00941895"/>
    <w:rsid w:val="0095761B"/>
    <w:rsid w:val="009729C6"/>
    <w:rsid w:val="0098646E"/>
    <w:rsid w:val="00992346"/>
    <w:rsid w:val="0099789E"/>
    <w:rsid w:val="009C3719"/>
    <w:rsid w:val="009C5049"/>
    <w:rsid w:val="009D14D9"/>
    <w:rsid w:val="009D201B"/>
    <w:rsid w:val="009D33EC"/>
    <w:rsid w:val="009D5B3C"/>
    <w:rsid w:val="009E5D9F"/>
    <w:rsid w:val="009E5DC7"/>
    <w:rsid w:val="009F353F"/>
    <w:rsid w:val="00A02E4F"/>
    <w:rsid w:val="00A06C75"/>
    <w:rsid w:val="00A06CF0"/>
    <w:rsid w:val="00A13E10"/>
    <w:rsid w:val="00A23AEE"/>
    <w:rsid w:val="00A26F9F"/>
    <w:rsid w:val="00A32D40"/>
    <w:rsid w:val="00A32FB8"/>
    <w:rsid w:val="00A35A98"/>
    <w:rsid w:val="00A43432"/>
    <w:rsid w:val="00A5004B"/>
    <w:rsid w:val="00A53995"/>
    <w:rsid w:val="00A72109"/>
    <w:rsid w:val="00A7756C"/>
    <w:rsid w:val="00A82908"/>
    <w:rsid w:val="00A85B93"/>
    <w:rsid w:val="00A926EE"/>
    <w:rsid w:val="00AA7AE8"/>
    <w:rsid w:val="00AD07D0"/>
    <w:rsid w:val="00AD0B07"/>
    <w:rsid w:val="00AE0499"/>
    <w:rsid w:val="00AF59B9"/>
    <w:rsid w:val="00AF5E3C"/>
    <w:rsid w:val="00B1447A"/>
    <w:rsid w:val="00B158E4"/>
    <w:rsid w:val="00B174C3"/>
    <w:rsid w:val="00B2307E"/>
    <w:rsid w:val="00B26E80"/>
    <w:rsid w:val="00B353DE"/>
    <w:rsid w:val="00B4199E"/>
    <w:rsid w:val="00B439B8"/>
    <w:rsid w:val="00B543E1"/>
    <w:rsid w:val="00B61070"/>
    <w:rsid w:val="00B634CF"/>
    <w:rsid w:val="00B639E4"/>
    <w:rsid w:val="00B779E3"/>
    <w:rsid w:val="00B80EDC"/>
    <w:rsid w:val="00B844DA"/>
    <w:rsid w:val="00B84D19"/>
    <w:rsid w:val="00B854FA"/>
    <w:rsid w:val="00B86C8D"/>
    <w:rsid w:val="00B873A7"/>
    <w:rsid w:val="00B878A7"/>
    <w:rsid w:val="00B94315"/>
    <w:rsid w:val="00BA1F0F"/>
    <w:rsid w:val="00BB73F7"/>
    <w:rsid w:val="00BD4472"/>
    <w:rsid w:val="00BF1507"/>
    <w:rsid w:val="00BF241E"/>
    <w:rsid w:val="00C02D82"/>
    <w:rsid w:val="00C07145"/>
    <w:rsid w:val="00C1180C"/>
    <w:rsid w:val="00C12516"/>
    <w:rsid w:val="00C26190"/>
    <w:rsid w:val="00C265E8"/>
    <w:rsid w:val="00C26B8D"/>
    <w:rsid w:val="00C30A12"/>
    <w:rsid w:val="00C4540E"/>
    <w:rsid w:val="00C517FF"/>
    <w:rsid w:val="00C5676B"/>
    <w:rsid w:val="00C85343"/>
    <w:rsid w:val="00CD5470"/>
    <w:rsid w:val="00CD7AC1"/>
    <w:rsid w:val="00CF2D1E"/>
    <w:rsid w:val="00CF67CE"/>
    <w:rsid w:val="00D01235"/>
    <w:rsid w:val="00D032A1"/>
    <w:rsid w:val="00D102AE"/>
    <w:rsid w:val="00D158BC"/>
    <w:rsid w:val="00D216EB"/>
    <w:rsid w:val="00D23BB4"/>
    <w:rsid w:val="00D265BF"/>
    <w:rsid w:val="00D31171"/>
    <w:rsid w:val="00D31185"/>
    <w:rsid w:val="00D44B02"/>
    <w:rsid w:val="00D4699C"/>
    <w:rsid w:val="00D46C08"/>
    <w:rsid w:val="00D600CD"/>
    <w:rsid w:val="00D61D57"/>
    <w:rsid w:val="00D63E65"/>
    <w:rsid w:val="00D77C9A"/>
    <w:rsid w:val="00D824D0"/>
    <w:rsid w:val="00D83BD4"/>
    <w:rsid w:val="00DA39B4"/>
    <w:rsid w:val="00DC6DCC"/>
    <w:rsid w:val="00DD4875"/>
    <w:rsid w:val="00DD64F5"/>
    <w:rsid w:val="00DD7FB8"/>
    <w:rsid w:val="00DE3C14"/>
    <w:rsid w:val="00DF12AB"/>
    <w:rsid w:val="00DF6DD0"/>
    <w:rsid w:val="00E0677C"/>
    <w:rsid w:val="00E069CC"/>
    <w:rsid w:val="00E2179B"/>
    <w:rsid w:val="00E30D06"/>
    <w:rsid w:val="00E353B1"/>
    <w:rsid w:val="00E47402"/>
    <w:rsid w:val="00E721A2"/>
    <w:rsid w:val="00E72B71"/>
    <w:rsid w:val="00E76761"/>
    <w:rsid w:val="00E81310"/>
    <w:rsid w:val="00E85031"/>
    <w:rsid w:val="00E86985"/>
    <w:rsid w:val="00E92D11"/>
    <w:rsid w:val="00E930CD"/>
    <w:rsid w:val="00E9424E"/>
    <w:rsid w:val="00E973AC"/>
    <w:rsid w:val="00EC1F55"/>
    <w:rsid w:val="00EC4FFF"/>
    <w:rsid w:val="00EC67D5"/>
    <w:rsid w:val="00ED221E"/>
    <w:rsid w:val="00ED75E5"/>
    <w:rsid w:val="00ED7D84"/>
    <w:rsid w:val="00EE1C50"/>
    <w:rsid w:val="00EF1D53"/>
    <w:rsid w:val="00F044EC"/>
    <w:rsid w:val="00F05925"/>
    <w:rsid w:val="00F076CA"/>
    <w:rsid w:val="00F25D05"/>
    <w:rsid w:val="00F4311C"/>
    <w:rsid w:val="00F45A09"/>
    <w:rsid w:val="00F573EB"/>
    <w:rsid w:val="00F57DDC"/>
    <w:rsid w:val="00F64589"/>
    <w:rsid w:val="00F65D65"/>
    <w:rsid w:val="00F750B8"/>
    <w:rsid w:val="00F76A42"/>
    <w:rsid w:val="00F83AC4"/>
    <w:rsid w:val="00F841B7"/>
    <w:rsid w:val="00F8508B"/>
    <w:rsid w:val="00F95346"/>
    <w:rsid w:val="00F966EF"/>
    <w:rsid w:val="00FB0346"/>
    <w:rsid w:val="00FC75E0"/>
    <w:rsid w:val="00FD2245"/>
    <w:rsid w:val="00FF5DA9"/>
    <w:rsid w:val="00FF6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C1B3"/>
  <w15:chartTrackingRefBased/>
  <w15:docId w15:val="{2732C430-BC5B-4D26-A2A8-60DF3E72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7A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2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83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47A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7A4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47A4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42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42D3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E3C14"/>
    <w:pPr>
      <w:ind w:left="720"/>
      <w:contextualSpacing/>
    </w:pPr>
  </w:style>
  <w:style w:type="character" w:styleId="Hyperlink">
    <w:name w:val="Hyperlink"/>
    <w:basedOn w:val="DefaultParagraphFont"/>
    <w:uiPriority w:val="99"/>
    <w:unhideWhenUsed/>
    <w:rsid w:val="00413F10"/>
    <w:rPr>
      <w:color w:val="0563C1" w:themeColor="hyperlink"/>
      <w:u w:val="single"/>
    </w:rPr>
  </w:style>
  <w:style w:type="paragraph" w:styleId="Header">
    <w:name w:val="header"/>
    <w:basedOn w:val="Normal"/>
    <w:link w:val="HeaderChar"/>
    <w:uiPriority w:val="99"/>
    <w:unhideWhenUsed/>
    <w:rsid w:val="0049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A2"/>
  </w:style>
  <w:style w:type="paragraph" w:styleId="Footer">
    <w:name w:val="footer"/>
    <w:basedOn w:val="Normal"/>
    <w:link w:val="FooterChar"/>
    <w:uiPriority w:val="99"/>
    <w:unhideWhenUsed/>
    <w:rsid w:val="0049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25140">
      <w:bodyDiv w:val="1"/>
      <w:marLeft w:val="0"/>
      <w:marRight w:val="0"/>
      <w:marTop w:val="0"/>
      <w:marBottom w:val="0"/>
      <w:divBdr>
        <w:top w:val="none" w:sz="0" w:space="0" w:color="auto"/>
        <w:left w:val="none" w:sz="0" w:space="0" w:color="auto"/>
        <w:bottom w:val="none" w:sz="0" w:space="0" w:color="auto"/>
        <w:right w:val="none" w:sz="0" w:space="0" w:color="auto"/>
      </w:divBdr>
    </w:div>
    <w:div w:id="498543497">
      <w:bodyDiv w:val="1"/>
      <w:marLeft w:val="0"/>
      <w:marRight w:val="0"/>
      <w:marTop w:val="0"/>
      <w:marBottom w:val="0"/>
      <w:divBdr>
        <w:top w:val="none" w:sz="0" w:space="0" w:color="auto"/>
        <w:left w:val="none" w:sz="0" w:space="0" w:color="auto"/>
        <w:bottom w:val="none" w:sz="0" w:space="0" w:color="auto"/>
        <w:right w:val="none" w:sz="0" w:space="0" w:color="auto"/>
      </w:divBdr>
    </w:div>
    <w:div w:id="552039156">
      <w:bodyDiv w:val="1"/>
      <w:marLeft w:val="0"/>
      <w:marRight w:val="0"/>
      <w:marTop w:val="0"/>
      <w:marBottom w:val="0"/>
      <w:divBdr>
        <w:top w:val="none" w:sz="0" w:space="0" w:color="auto"/>
        <w:left w:val="none" w:sz="0" w:space="0" w:color="auto"/>
        <w:bottom w:val="none" w:sz="0" w:space="0" w:color="auto"/>
        <w:right w:val="none" w:sz="0" w:space="0" w:color="auto"/>
      </w:divBdr>
    </w:div>
    <w:div w:id="717582782">
      <w:bodyDiv w:val="1"/>
      <w:marLeft w:val="0"/>
      <w:marRight w:val="0"/>
      <w:marTop w:val="0"/>
      <w:marBottom w:val="0"/>
      <w:divBdr>
        <w:top w:val="none" w:sz="0" w:space="0" w:color="auto"/>
        <w:left w:val="none" w:sz="0" w:space="0" w:color="auto"/>
        <w:bottom w:val="none" w:sz="0" w:space="0" w:color="auto"/>
        <w:right w:val="none" w:sz="0" w:space="0" w:color="auto"/>
      </w:divBdr>
    </w:div>
    <w:div w:id="794563071">
      <w:bodyDiv w:val="1"/>
      <w:marLeft w:val="0"/>
      <w:marRight w:val="0"/>
      <w:marTop w:val="0"/>
      <w:marBottom w:val="0"/>
      <w:divBdr>
        <w:top w:val="none" w:sz="0" w:space="0" w:color="auto"/>
        <w:left w:val="none" w:sz="0" w:space="0" w:color="auto"/>
        <w:bottom w:val="none" w:sz="0" w:space="0" w:color="auto"/>
        <w:right w:val="none" w:sz="0" w:space="0" w:color="auto"/>
      </w:divBdr>
    </w:div>
    <w:div w:id="800002682">
      <w:bodyDiv w:val="1"/>
      <w:marLeft w:val="0"/>
      <w:marRight w:val="0"/>
      <w:marTop w:val="0"/>
      <w:marBottom w:val="0"/>
      <w:divBdr>
        <w:top w:val="none" w:sz="0" w:space="0" w:color="auto"/>
        <w:left w:val="none" w:sz="0" w:space="0" w:color="auto"/>
        <w:bottom w:val="none" w:sz="0" w:space="0" w:color="auto"/>
        <w:right w:val="none" w:sz="0" w:space="0" w:color="auto"/>
      </w:divBdr>
    </w:div>
    <w:div w:id="1159661773">
      <w:bodyDiv w:val="1"/>
      <w:marLeft w:val="0"/>
      <w:marRight w:val="0"/>
      <w:marTop w:val="0"/>
      <w:marBottom w:val="0"/>
      <w:divBdr>
        <w:top w:val="none" w:sz="0" w:space="0" w:color="auto"/>
        <w:left w:val="none" w:sz="0" w:space="0" w:color="auto"/>
        <w:bottom w:val="none" w:sz="0" w:space="0" w:color="auto"/>
        <w:right w:val="none" w:sz="0" w:space="0" w:color="auto"/>
      </w:divBdr>
    </w:div>
    <w:div w:id="1430082079">
      <w:bodyDiv w:val="1"/>
      <w:marLeft w:val="0"/>
      <w:marRight w:val="0"/>
      <w:marTop w:val="0"/>
      <w:marBottom w:val="0"/>
      <w:divBdr>
        <w:top w:val="none" w:sz="0" w:space="0" w:color="auto"/>
        <w:left w:val="none" w:sz="0" w:space="0" w:color="auto"/>
        <w:bottom w:val="none" w:sz="0" w:space="0" w:color="auto"/>
        <w:right w:val="none" w:sz="0" w:space="0" w:color="auto"/>
      </w:divBdr>
    </w:div>
    <w:div w:id="1692607796">
      <w:bodyDiv w:val="1"/>
      <w:marLeft w:val="0"/>
      <w:marRight w:val="0"/>
      <w:marTop w:val="0"/>
      <w:marBottom w:val="0"/>
      <w:divBdr>
        <w:top w:val="none" w:sz="0" w:space="0" w:color="auto"/>
        <w:left w:val="none" w:sz="0" w:space="0" w:color="auto"/>
        <w:bottom w:val="none" w:sz="0" w:space="0" w:color="auto"/>
        <w:right w:val="none" w:sz="0" w:space="0" w:color="auto"/>
      </w:divBdr>
    </w:div>
    <w:div w:id="1743866914">
      <w:bodyDiv w:val="1"/>
      <w:marLeft w:val="0"/>
      <w:marRight w:val="0"/>
      <w:marTop w:val="0"/>
      <w:marBottom w:val="0"/>
      <w:divBdr>
        <w:top w:val="none" w:sz="0" w:space="0" w:color="auto"/>
        <w:left w:val="none" w:sz="0" w:space="0" w:color="auto"/>
        <w:bottom w:val="none" w:sz="0" w:space="0" w:color="auto"/>
        <w:right w:val="none" w:sz="0" w:space="0" w:color="auto"/>
      </w:divBdr>
    </w:div>
    <w:div w:id="1763799201">
      <w:bodyDiv w:val="1"/>
      <w:marLeft w:val="0"/>
      <w:marRight w:val="0"/>
      <w:marTop w:val="0"/>
      <w:marBottom w:val="0"/>
      <w:divBdr>
        <w:top w:val="none" w:sz="0" w:space="0" w:color="auto"/>
        <w:left w:val="none" w:sz="0" w:space="0" w:color="auto"/>
        <w:bottom w:val="none" w:sz="0" w:space="0" w:color="auto"/>
        <w:right w:val="none" w:sz="0" w:space="0" w:color="auto"/>
      </w:divBdr>
    </w:div>
    <w:div w:id="1778525611">
      <w:bodyDiv w:val="1"/>
      <w:marLeft w:val="0"/>
      <w:marRight w:val="0"/>
      <w:marTop w:val="0"/>
      <w:marBottom w:val="0"/>
      <w:divBdr>
        <w:top w:val="none" w:sz="0" w:space="0" w:color="auto"/>
        <w:left w:val="none" w:sz="0" w:space="0" w:color="auto"/>
        <w:bottom w:val="none" w:sz="0" w:space="0" w:color="auto"/>
        <w:right w:val="none" w:sz="0" w:space="0" w:color="auto"/>
      </w:divBdr>
    </w:div>
    <w:div w:id="1875799714">
      <w:bodyDiv w:val="1"/>
      <w:marLeft w:val="0"/>
      <w:marRight w:val="0"/>
      <w:marTop w:val="0"/>
      <w:marBottom w:val="0"/>
      <w:divBdr>
        <w:top w:val="none" w:sz="0" w:space="0" w:color="auto"/>
        <w:left w:val="none" w:sz="0" w:space="0" w:color="auto"/>
        <w:bottom w:val="none" w:sz="0" w:space="0" w:color="auto"/>
        <w:right w:val="none" w:sz="0" w:space="0" w:color="auto"/>
      </w:divBdr>
    </w:div>
    <w:div w:id="1945262565">
      <w:bodyDiv w:val="1"/>
      <w:marLeft w:val="0"/>
      <w:marRight w:val="0"/>
      <w:marTop w:val="0"/>
      <w:marBottom w:val="0"/>
      <w:divBdr>
        <w:top w:val="none" w:sz="0" w:space="0" w:color="auto"/>
        <w:left w:val="none" w:sz="0" w:space="0" w:color="auto"/>
        <w:bottom w:val="none" w:sz="0" w:space="0" w:color="auto"/>
        <w:right w:val="none" w:sz="0" w:space="0" w:color="auto"/>
      </w:divBdr>
    </w:div>
    <w:div w:id="2068259134">
      <w:bodyDiv w:val="1"/>
      <w:marLeft w:val="0"/>
      <w:marRight w:val="0"/>
      <w:marTop w:val="0"/>
      <w:marBottom w:val="0"/>
      <w:divBdr>
        <w:top w:val="none" w:sz="0" w:space="0" w:color="auto"/>
        <w:left w:val="none" w:sz="0" w:space="0" w:color="auto"/>
        <w:bottom w:val="none" w:sz="0" w:space="0" w:color="auto"/>
        <w:right w:val="none" w:sz="0" w:space="0" w:color="auto"/>
      </w:divBdr>
    </w:div>
    <w:div w:id="2093575979">
      <w:bodyDiv w:val="1"/>
      <w:marLeft w:val="0"/>
      <w:marRight w:val="0"/>
      <w:marTop w:val="0"/>
      <w:marBottom w:val="0"/>
      <w:divBdr>
        <w:top w:val="none" w:sz="0" w:space="0" w:color="auto"/>
        <w:left w:val="none" w:sz="0" w:space="0" w:color="auto"/>
        <w:bottom w:val="none" w:sz="0" w:space="0" w:color="auto"/>
        <w:right w:val="none" w:sz="0" w:space="0" w:color="auto"/>
      </w:divBdr>
    </w:div>
    <w:div w:id="21362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Service Delivery Methods. Quarter 1 Comparisons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1:1 Service Session</c:v>
                </c:pt>
              </c:strCache>
            </c:strRef>
          </c:tx>
          <c:spPr>
            <a:solidFill>
              <a:schemeClr val="accent1"/>
            </a:solidFill>
            <a:ln>
              <a:noFill/>
            </a:ln>
            <a:effectLst/>
          </c:spPr>
          <c:invertIfNegative val="0"/>
          <c:cat>
            <c:numRef>
              <c:f>Sheet1!$A$2:$A$4</c:f>
              <c:numCache>
                <c:formatCode>General</c:formatCode>
                <c:ptCount val="3"/>
                <c:pt idx="0">
                  <c:v>2018</c:v>
                </c:pt>
                <c:pt idx="1">
                  <c:v>2019</c:v>
                </c:pt>
                <c:pt idx="2">
                  <c:v>2020</c:v>
                </c:pt>
              </c:numCache>
            </c:numRef>
          </c:cat>
          <c:val>
            <c:numRef>
              <c:f>Sheet1!$B$2:$B$4</c:f>
              <c:numCache>
                <c:formatCode>#,##0</c:formatCode>
                <c:ptCount val="3"/>
                <c:pt idx="0">
                  <c:v>6730</c:v>
                </c:pt>
                <c:pt idx="1">
                  <c:v>5331</c:v>
                </c:pt>
                <c:pt idx="2">
                  <c:v>2116</c:v>
                </c:pt>
              </c:numCache>
            </c:numRef>
          </c:val>
          <c:extLst>
            <c:ext xmlns:c16="http://schemas.microsoft.com/office/drawing/2014/chart" uri="{C3380CC4-5D6E-409C-BE32-E72D297353CC}">
              <c16:uniqueId val="{00000000-3270-4AE8-B201-2647BC434205}"/>
            </c:ext>
          </c:extLst>
        </c:ser>
        <c:ser>
          <c:idx val="1"/>
          <c:order val="1"/>
          <c:tx>
            <c:strRef>
              <c:f>Sheet1!$C$1</c:f>
              <c:strCache>
                <c:ptCount val="1"/>
                <c:pt idx="0">
                  <c:v>Correspondence Service Session</c:v>
                </c:pt>
              </c:strCache>
            </c:strRef>
          </c:tx>
          <c:spPr>
            <a:solidFill>
              <a:schemeClr val="accent2"/>
            </a:solidFill>
            <a:ln>
              <a:noFill/>
            </a:ln>
            <a:effectLst/>
          </c:spPr>
          <c:invertIfNegative val="0"/>
          <c:cat>
            <c:numRef>
              <c:f>Sheet1!$A$2:$A$4</c:f>
              <c:numCache>
                <c:formatCode>General</c:formatCode>
                <c:ptCount val="3"/>
                <c:pt idx="0">
                  <c:v>2018</c:v>
                </c:pt>
                <c:pt idx="1">
                  <c:v>2019</c:v>
                </c:pt>
                <c:pt idx="2">
                  <c:v>2020</c:v>
                </c:pt>
              </c:numCache>
            </c:numRef>
          </c:cat>
          <c:val>
            <c:numRef>
              <c:f>Sheet1!$C$2:$C$4</c:f>
              <c:numCache>
                <c:formatCode>#,##0</c:formatCode>
                <c:ptCount val="3"/>
                <c:pt idx="0">
                  <c:v>5271</c:v>
                </c:pt>
                <c:pt idx="1">
                  <c:v>5857</c:v>
                </c:pt>
                <c:pt idx="2">
                  <c:v>19193</c:v>
                </c:pt>
              </c:numCache>
            </c:numRef>
          </c:val>
          <c:extLst>
            <c:ext xmlns:c16="http://schemas.microsoft.com/office/drawing/2014/chart" uri="{C3380CC4-5D6E-409C-BE32-E72D297353CC}">
              <c16:uniqueId val="{00000001-3270-4AE8-B201-2647BC434205}"/>
            </c:ext>
          </c:extLst>
        </c:ser>
        <c:ser>
          <c:idx val="2"/>
          <c:order val="2"/>
          <c:tx>
            <c:strRef>
              <c:f>Sheet1!$D$1</c:f>
              <c:strCache>
                <c:ptCount val="1"/>
                <c:pt idx="0">
                  <c:v>Group Events</c:v>
                </c:pt>
              </c:strCache>
            </c:strRef>
          </c:tx>
          <c:spPr>
            <a:solidFill>
              <a:schemeClr val="accent3"/>
            </a:solidFill>
            <a:ln>
              <a:noFill/>
            </a:ln>
            <a:effectLst/>
          </c:spPr>
          <c:invertIfNegative val="0"/>
          <c:cat>
            <c:numRef>
              <c:f>Sheet1!$A$2:$A$4</c:f>
              <c:numCache>
                <c:formatCode>General</c:formatCode>
                <c:ptCount val="3"/>
                <c:pt idx="0">
                  <c:v>2018</c:v>
                </c:pt>
                <c:pt idx="1">
                  <c:v>2019</c:v>
                </c:pt>
                <c:pt idx="2">
                  <c:v>2020</c:v>
                </c:pt>
              </c:numCache>
            </c:numRef>
          </c:cat>
          <c:val>
            <c:numRef>
              <c:f>Sheet1!$D$2:$D$4</c:f>
              <c:numCache>
                <c:formatCode>General</c:formatCode>
                <c:ptCount val="3"/>
                <c:pt idx="0">
                  <c:v>1758</c:v>
                </c:pt>
                <c:pt idx="1">
                  <c:v>1366</c:v>
                </c:pt>
                <c:pt idx="2">
                  <c:v>582</c:v>
                </c:pt>
              </c:numCache>
            </c:numRef>
          </c:val>
          <c:extLst>
            <c:ext xmlns:c16="http://schemas.microsoft.com/office/drawing/2014/chart" uri="{C3380CC4-5D6E-409C-BE32-E72D297353CC}">
              <c16:uniqueId val="{00000002-3270-4AE8-B201-2647BC434205}"/>
            </c:ext>
          </c:extLst>
        </c:ser>
        <c:dLbls>
          <c:showLegendKey val="0"/>
          <c:showVal val="0"/>
          <c:showCatName val="0"/>
          <c:showSerName val="0"/>
          <c:showPercent val="0"/>
          <c:showBubbleSize val="0"/>
        </c:dLbls>
        <c:gapWidth val="219"/>
        <c:overlap val="-27"/>
        <c:axId val="286901496"/>
        <c:axId val="287157008"/>
      </c:barChart>
      <c:catAx>
        <c:axId val="28690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7157008"/>
        <c:crosses val="autoZero"/>
        <c:auto val="1"/>
        <c:lblAlgn val="ctr"/>
        <c:lblOffset val="100"/>
        <c:noMultiLvlLbl val="0"/>
      </c:catAx>
      <c:valAx>
        <c:axId val="287157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901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F68279052C408DA860F2B5025371" ma:contentTypeVersion="13" ma:contentTypeDescription="Create a new document." ma:contentTypeScope="" ma:versionID="bc65d6e11c59d0870e001b435f889d61">
  <xsd:schema xmlns:xsd="http://www.w3.org/2001/XMLSchema" xmlns:xs="http://www.w3.org/2001/XMLSchema" xmlns:p="http://schemas.microsoft.com/office/2006/metadata/properties" xmlns:ns3="6c2c36fc-3825-4bf1-9330-59cbf463cd0f" xmlns:ns4="adc426d7-9851-4560-8256-5a6181fcd4e9" targetNamespace="http://schemas.microsoft.com/office/2006/metadata/properties" ma:root="true" ma:fieldsID="488a567a6753301c95caba87192f2943" ns3:_="" ns4:_="">
    <xsd:import namespace="6c2c36fc-3825-4bf1-9330-59cbf463cd0f"/>
    <xsd:import namespace="adc426d7-9851-4560-8256-5a6181fcd4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36fc-3825-4bf1-9330-59cbf463cd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c426d7-9851-4560-8256-5a6181fcd4e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02DAB-A6A5-4F29-BB3D-835E538F1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36fc-3825-4bf1-9330-59cbf463cd0f"/>
    <ds:schemaRef ds:uri="adc426d7-9851-4560-8256-5a6181fcd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3D65B-2EA2-46E2-A90D-92C799FEB8BD}">
  <ds:schemaRefs>
    <ds:schemaRef ds:uri="http://schemas.microsoft.com/sharepoint/v3/contenttype/forms"/>
  </ds:schemaRefs>
</ds:datastoreItem>
</file>

<file path=customXml/itemProps3.xml><?xml version="1.0" encoding="utf-8"?>
<ds:datastoreItem xmlns:ds="http://schemas.openxmlformats.org/officeDocument/2006/customXml" ds:itemID="{A1CB7B34-A87B-48F7-9285-1680CF0A40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Nicol</dc:creator>
  <cp:keywords/>
  <dc:description/>
  <cp:lastModifiedBy>Chris Nicol</cp:lastModifiedBy>
  <cp:revision>2</cp:revision>
  <dcterms:created xsi:type="dcterms:W3CDTF">2020-08-11T08:01:00Z</dcterms:created>
  <dcterms:modified xsi:type="dcterms:W3CDTF">2020-08-11T08:01:00Z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0x010100BB36F68279052C408DA860F2B5025371</vt:lpwstr>
  </property>
</Properties>
</file>